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/>
        <w:ind/>
        <w:rPr>
          <w:rFonts w:ascii="PF Din Text Cond Pro Medium" w:hAnsi="PF Din Text Cond Pro Medium"/>
          <w:b w:val="1"/>
          <w:sz w:val="48"/>
        </w:rPr>
      </w:pPr>
      <w:r>
        <w:drawing>
          <wp:inline>
            <wp:extent cx="4105275" cy="811864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4105275" cy="81186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spacing w:after="0"/>
        <w:ind/>
        <w:jc w:val="center"/>
        <w:rPr>
          <w:rFonts w:ascii="Arial Narrow" w:hAnsi="Arial Narrow"/>
          <w:b w:val="1"/>
          <w:color w:val="D71920"/>
          <w:sz w:val="48"/>
        </w:rPr>
      </w:pPr>
      <w:r>
        <w:rPr>
          <w:rFonts w:ascii="Arial Narrow" w:hAnsi="Arial Narrow"/>
          <w:b w:val="1"/>
          <w:color w:val="D71920"/>
          <w:sz w:val="48"/>
        </w:rPr>
        <w:t>Уважаемые налогоплательщики</w:t>
      </w:r>
      <w:r>
        <w:rPr>
          <w:rFonts w:ascii="Arial Narrow" w:hAnsi="Arial Narrow"/>
          <w:b w:val="1"/>
          <w:color w:val="D71920"/>
          <w:sz w:val="48"/>
        </w:rPr>
        <w:t>!</w:t>
      </w:r>
      <w:r>
        <w:rPr>
          <w:rFonts w:ascii="Arial Narrow" w:hAnsi="Arial Narrow"/>
          <w:b w:val="1"/>
          <w:color w:val="D71920"/>
          <w:sz w:val="48"/>
        </w:rPr>
        <w:t xml:space="preserve"> </w:t>
      </w:r>
    </w:p>
    <w:p w14:paraId="03000000">
      <w:pPr>
        <w:widowControl w:val="0"/>
        <w:ind w:firstLine="709"/>
        <w:jc w:val="both"/>
        <w:rPr>
          <w:sz w:val="28"/>
        </w:rPr>
      </w:pPr>
    </w:p>
    <w:p w14:paraId="04000000">
      <w:pPr>
        <w:widowControl w:val="0"/>
        <w:ind/>
        <w:jc w:val="center"/>
        <w:rPr>
          <w:rFonts w:ascii="Arial Narrow" w:hAnsi="Arial Narrow"/>
          <w:color w:val="C00000"/>
          <w:sz w:val="32"/>
        </w:rPr>
      </w:pPr>
      <w:r>
        <w:rPr>
          <w:rFonts w:ascii="Arial Narrow" w:hAnsi="Arial Narrow"/>
          <w:color w:val="C00000"/>
          <w:sz w:val="32"/>
        </w:rPr>
        <w:t xml:space="preserve">При представлении в налоговые органы жалобы (апелляционной жалобы) по телекоммуникационным каналам связи (далее – ТКС) необходимо использовать форматы, утвержденные </w:t>
      </w:r>
      <w:r>
        <w:rPr>
          <w:rFonts w:ascii="Arial Narrow" w:hAnsi="Arial Narrow"/>
          <w:color w:val="C00000"/>
          <w:sz w:val="32"/>
        </w:rPr>
        <w:t>п</w:t>
      </w:r>
      <w:r>
        <w:rPr>
          <w:rFonts w:ascii="Arial Narrow" w:hAnsi="Arial Narrow"/>
          <w:color w:val="C00000"/>
          <w:sz w:val="32"/>
        </w:rPr>
        <w:t>риказом ФНС России от 20.12.2019 № ММВ-7-9/645@ «</w:t>
      </w:r>
      <w:r>
        <w:rPr>
          <w:rFonts w:ascii="Arial Narrow" w:hAnsi="Arial Narrow"/>
          <w:i w:val="1"/>
          <w:color w:val="C00000"/>
          <w:sz w:val="32"/>
        </w:rPr>
        <w:t>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</w:t>
      </w:r>
      <w:r>
        <w:rPr>
          <w:rFonts w:ascii="Arial Narrow" w:hAnsi="Arial Narrow"/>
          <w:color w:val="C00000"/>
          <w:sz w:val="32"/>
        </w:rPr>
        <w:t xml:space="preserve">» </w:t>
      </w:r>
      <w:r>
        <w:rPr>
          <w:rFonts w:ascii="Arial Narrow" w:hAnsi="Arial Narrow"/>
          <w:color w:val="C00000"/>
          <w:sz w:val="32"/>
        </w:rPr>
        <w:br/>
      </w:r>
      <w:r>
        <w:rPr>
          <w:rFonts w:ascii="Arial Narrow" w:hAnsi="Arial Narrow"/>
          <w:color w:val="C00000"/>
          <w:sz w:val="32"/>
        </w:rPr>
        <w:t>(далее – Приказ № ММВ-7-9/645@).</w:t>
      </w:r>
    </w:p>
    <w:p w14:paraId="05000000">
      <w:pPr>
        <w:widowControl w:val="0"/>
        <w:ind w:firstLine="709"/>
        <w:jc w:val="both"/>
        <w:rPr>
          <w:rFonts w:ascii="Arial Narrow" w:hAnsi="Arial Narrow"/>
          <w:color w:val="0070C0"/>
          <w:sz w:val="28"/>
        </w:rPr>
      </w:pPr>
    </w:p>
    <w:p w14:paraId="06000000">
      <w:pPr>
        <w:widowControl w:val="0"/>
        <w:ind w:firstLine="709"/>
        <w:jc w:val="both"/>
        <w:rPr>
          <w:rFonts w:ascii="Arial Narrow" w:hAnsi="Arial Narrow"/>
          <w:color w:val="0070C0"/>
          <w:sz w:val="28"/>
        </w:rPr>
      </w:pPr>
      <w:r>
        <w:rPr>
          <w:rFonts w:ascii="Arial Narrow" w:hAnsi="Arial Narrow"/>
          <w:color w:val="0070C0"/>
          <w:sz w:val="28"/>
        </w:rPr>
        <w:t xml:space="preserve">Приказом № ММВ-7-9/645@ </w:t>
      </w:r>
      <w:r>
        <w:rPr>
          <w:rFonts w:ascii="Arial Narrow" w:hAnsi="Arial Narrow"/>
          <w:color w:val="0070C0"/>
          <w:sz w:val="28"/>
        </w:rPr>
        <w:t>утверждены форма жалобы (апелляционной жалобы) (форма КНД 1110121), форматы представления жалобы (апелляционной жалобы) и решения (извещения) по жалобе (апелляционной жалобе) в электронной форме, а также порядки представления жалобы (апелляционной жалобы) и направления решения (извещения) по жалобе (апелляционной жалобе) и ее заполнения.</w:t>
      </w:r>
    </w:p>
    <w:p w14:paraId="07000000">
      <w:pPr>
        <w:widowControl w:val="0"/>
        <w:ind w:firstLine="709"/>
        <w:jc w:val="both"/>
        <w:rPr>
          <w:rFonts w:ascii="Arial Narrow" w:hAnsi="Arial Narrow"/>
          <w:color w:val="0070C0"/>
          <w:sz w:val="28"/>
        </w:rPr>
      </w:pPr>
      <w:r>
        <w:rPr>
          <w:rFonts w:ascii="Arial Narrow" w:hAnsi="Arial Narrow"/>
          <w:color w:val="0070C0"/>
          <w:sz w:val="28"/>
        </w:rPr>
        <w:t xml:space="preserve">Положения указанного приказа вступили в силу </w:t>
      </w:r>
      <w:r>
        <w:rPr>
          <w:rFonts w:ascii="Arial Narrow" w:hAnsi="Arial Narrow"/>
          <w:color w:val="0070C0"/>
          <w:sz w:val="28"/>
          <w:u w:val="single"/>
        </w:rPr>
        <w:t>с 01.05.2020</w:t>
      </w:r>
      <w:r>
        <w:rPr>
          <w:rFonts w:ascii="Arial Narrow" w:hAnsi="Arial Narrow"/>
          <w:color w:val="0070C0"/>
          <w:sz w:val="28"/>
        </w:rPr>
        <w:t xml:space="preserve"> и направлены на реализацию возможности подачи лицом, нарушение прав которого обжалуется, (далее – Заявитель) по ТК</w:t>
      </w:r>
      <w:r>
        <w:rPr>
          <w:rFonts w:ascii="Arial Narrow" w:hAnsi="Arial Narrow"/>
          <w:color w:val="0070C0"/>
          <w:sz w:val="28"/>
        </w:rPr>
        <w:t>С</w:t>
      </w:r>
      <w:r>
        <w:rPr>
          <w:rFonts w:ascii="Arial Narrow" w:hAnsi="Arial Narrow"/>
          <w:color w:val="0070C0"/>
          <w:sz w:val="28"/>
        </w:rPr>
        <w:t xml:space="preserve"> жалобы (апелляционной жалобы) и получения по ней решений (иных документов), образующихся в ходе досудебного урегулирования споров. </w:t>
      </w:r>
    </w:p>
    <w:p w14:paraId="08000000">
      <w:pPr>
        <w:widowControl w:val="0"/>
        <w:ind w:firstLine="709"/>
        <w:jc w:val="both"/>
        <w:rPr>
          <w:rFonts w:ascii="Arial Narrow" w:hAnsi="Arial Narrow"/>
          <w:i w:val="1"/>
          <w:color w:val="0070C0"/>
          <w:sz w:val="28"/>
        </w:rPr>
      </w:pPr>
      <w:r>
        <w:rPr>
          <w:rFonts w:ascii="Arial Narrow" w:hAnsi="Arial Narrow"/>
          <w:i w:val="1"/>
          <w:color w:val="0070C0"/>
          <w:sz w:val="28"/>
        </w:rPr>
        <w:t xml:space="preserve">Представление </w:t>
      </w:r>
      <w:r>
        <w:rPr>
          <w:rFonts w:ascii="Arial Narrow" w:hAnsi="Arial Narrow"/>
          <w:i w:val="1"/>
          <w:color w:val="0070C0"/>
          <w:sz w:val="28"/>
        </w:rPr>
        <w:t xml:space="preserve"> жалоб</w:t>
      </w:r>
      <w:r>
        <w:rPr>
          <w:rFonts w:ascii="Arial Narrow" w:hAnsi="Arial Narrow"/>
          <w:i w:val="1"/>
          <w:color w:val="0070C0"/>
          <w:sz w:val="28"/>
        </w:rPr>
        <w:t>ы</w:t>
      </w:r>
      <w:r>
        <w:rPr>
          <w:rFonts w:ascii="Arial Narrow" w:hAnsi="Arial Narrow"/>
          <w:i w:val="1"/>
          <w:color w:val="0070C0"/>
          <w:sz w:val="28"/>
        </w:rPr>
        <w:t xml:space="preserve"> (апелляционн</w:t>
      </w:r>
      <w:r>
        <w:rPr>
          <w:rFonts w:ascii="Arial Narrow" w:hAnsi="Arial Narrow"/>
          <w:i w:val="1"/>
          <w:color w:val="0070C0"/>
          <w:sz w:val="28"/>
        </w:rPr>
        <w:t>о</w:t>
      </w:r>
      <w:r>
        <w:rPr>
          <w:rFonts w:ascii="Arial Narrow" w:hAnsi="Arial Narrow"/>
          <w:i w:val="1"/>
          <w:color w:val="0070C0"/>
          <w:sz w:val="28"/>
        </w:rPr>
        <w:t>й жалоб</w:t>
      </w:r>
      <w:r>
        <w:rPr>
          <w:rFonts w:ascii="Arial Narrow" w:hAnsi="Arial Narrow"/>
          <w:i w:val="1"/>
          <w:color w:val="0070C0"/>
          <w:sz w:val="28"/>
        </w:rPr>
        <w:t>ы</w:t>
      </w:r>
      <w:r>
        <w:rPr>
          <w:rFonts w:ascii="Arial Narrow" w:hAnsi="Arial Narrow"/>
          <w:i w:val="1"/>
          <w:color w:val="0070C0"/>
          <w:sz w:val="28"/>
        </w:rPr>
        <w:t xml:space="preserve">) по ТКС </w:t>
      </w:r>
      <w:r>
        <w:rPr>
          <w:rFonts w:ascii="Arial Narrow" w:hAnsi="Arial Narrow"/>
          <w:i w:val="1"/>
          <w:color w:val="0070C0"/>
          <w:sz w:val="28"/>
        </w:rPr>
        <w:t>с использованием</w:t>
      </w:r>
      <w:r>
        <w:rPr>
          <w:rFonts w:ascii="Arial Narrow" w:hAnsi="Arial Narrow"/>
          <w:i w:val="1"/>
          <w:color w:val="0070C0"/>
          <w:sz w:val="28"/>
        </w:rPr>
        <w:t xml:space="preserve"> документ</w:t>
      </w:r>
      <w:r>
        <w:rPr>
          <w:rFonts w:ascii="Arial Narrow" w:hAnsi="Arial Narrow"/>
          <w:i w:val="1"/>
          <w:color w:val="0070C0"/>
          <w:sz w:val="28"/>
        </w:rPr>
        <w:t>а</w:t>
      </w:r>
      <w:r>
        <w:rPr>
          <w:rFonts w:ascii="Arial Narrow" w:hAnsi="Arial Narrow"/>
          <w:i w:val="1"/>
          <w:color w:val="0070C0"/>
          <w:sz w:val="28"/>
        </w:rPr>
        <w:t xml:space="preserve"> «Обращение налогоплательщика (представителя) в целях получения информации (код по КНД 1166102)» (далее – Обращение), форма и формат которого утверждены приказом ФНС России от 13.06.2013 №</w:t>
      </w:r>
      <w:r>
        <w:rPr>
          <w:rFonts w:ascii="Arial Narrow" w:hAnsi="Arial Narrow"/>
          <w:i w:val="1"/>
          <w:color w:val="0070C0"/>
          <w:sz w:val="28"/>
        </w:rPr>
        <w:t> </w:t>
      </w:r>
      <w:r>
        <w:rPr>
          <w:rFonts w:ascii="Arial Narrow" w:hAnsi="Arial Narrow"/>
          <w:i w:val="1"/>
          <w:color w:val="0070C0"/>
          <w:sz w:val="28"/>
        </w:rPr>
        <w:t xml:space="preserve">ММВ-7-6/196@ «Об утверждении Методических рекомендаций по организации электронного документооборота между налоговыми органами и налогоплательщиками при информационном обслуживании и информировании налогоплательщиков в электронной форме по телекоммуникационным каналам связи» </w:t>
      </w:r>
      <w:r>
        <w:rPr>
          <w:rFonts w:ascii="Arial Narrow" w:hAnsi="Arial Narrow"/>
          <w:i w:val="1"/>
          <w:color w:val="0070C0"/>
          <w:sz w:val="28"/>
        </w:rPr>
        <w:t>НЕДОПУСТИМО!</w:t>
      </w:r>
    </w:p>
    <w:p w14:paraId="09000000"/>
    <w:p w14:paraId="0A000000">
      <w:pPr>
        <w:rPr>
          <w:rFonts w:ascii="Arial Narrow" w:hAnsi="Arial Narrow"/>
          <w:sz w:val="28"/>
        </w:rPr>
      </w:pPr>
      <w:r>
        <w:rPr>
          <w:rStyle w:val="Style_1_ch"/>
          <w:rFonts w:ascii="Arial Narrow" w:hAnsi="Arial Narrow"/>
          <w:color w:val="0070C0"/>
          <w:sz w:val="28"/>
        </w:rPr>
        <w:fldChar w:fldCharType="begin"/>
      </w:r>
      <w:r>
        <w:rPr>
          <w:rStyle w:val="Style_1_ch"/>
          <w:rFonts w:ascii="Arial Narrow" w:hAnsi="Arial Narrow"/>
          <w:color w:val="0070C0"/>
          <w:sz w:val="28"/>
        </w:rPr>
        <w:instrText>HYPERLINK "http://www.nalog.ru"</w:instrText>
      </w:r>
      <w:r>
        <w:rPr>
          <w:rStyle w:val="Style_1_ch"/>
          <w:rFonts w:ascii="Arial Narrow" w:hAnsi="Arial Narrow"/>
          <w:color w:val="0070C0"/>
          <w:sz w:val="28"/>
        </w:rPr>
        <w:fldChar w:fldCharType="separate"/>
      </w:r>
      <w:r>
        <w:rPr>
          <w:rStyle w:val="Style_1_ch"/>
          <w:rFonts w:ascii="Arial Narrow" w:hAnsi="Arial Narrow"/>
          <w:color w:val="0070C0"/>
          <w:sz w:val="28"/>
        </w:rPr>
        <w:t>www.nalog.ru</w:t>
      </w:r>
      <w:r>
        <w:rPr>
          <w:rStyle w:val="Style_1_ch"/>
          <w:rFonts w:ascii="Arial Narrow" w:hAnsi="Arial Narrow"/>
          <w:color w:val="0070C0"/>
          <w:sz w:val="28"/>
        </w:rPr>
        <w:fldChar w:fldCharType="end"/>
      </w:r>
      <w:r>
        <w:rPr>
          <w:rFonts w:ascii="Arial Narrow" w:hAnsi="Arial Narrow"/>
          <w:color w:val="0070C0"/>
          <w:sz w:val="28"/>
        </w:rPr>
        <w:t xml:space="preserve">           </w:t>
      </w:r>
      <w:r>
        <w:rPr>
          <w:rFonts w:ascii="Arial Narrow" w:hAnsi="Arial Narrow"/>
          <w:color w:themeColor="accent1" w:val="4F81BD"/>
          <w:sz w:val="28"/>
        </w:rPr>
        <w:t xml:space="preserve"> </w:t>
      </w:r>
      <w:bookmarkStart w:id="1" w:name="_GoBack"/>
      <w:bookmarkEnd w:id="1"/>
      <w:r>
        <w:rPr>
          <w:rFonts w:ascii="Arial Narrow" w:hAnsi="Arial Narrow"/>
          <w:color w:themeColor="accent1" w:val="4F81BD"/>
          <w:sz w:val="28"/>
        </w:rPr>
        <w:t xml:space="preserve">                                                            </w:t>
      </w:r>
      <w:r>
        <w:rPr>
          <w:rFonts w:ascii="Arial Narrow" w:hAnsi="Arial Narrow"/>
          <w:color w:themeColor="accent1" w:val="4F81BD"/>
          <w:sz w:val="28"/>
        </w:rPr>
        <w:t xml:space="preserve">          </w:t>
      </w:r>
      <w:r>
        <w:rPr>
          <w:rFonts w:ascii="Arial Narrow" w:hAnsi="Arial Narrow"/>
          <w:color w:themeColor="accent1" w:val="4F81BD"/>
          <w:sz w:val="28"/>
        </w:rPr>
        <w:t xml:space="preserve">  </w:t>
      </w:r>
      <w:r>
        <w:rPr>
          <w:rFonts w:ascii="Arial Narrow" w:hAnsi="Arial Narrow"/>
          <w:color w:themeColor="accent1" w:val="4F81BD"/>
          <w:sz w:val="28"/>
        </w:rPr>
        <w:t xml:space="preserve">    </w:t>
      </w:r>
      <w:r>
        <w:rPr>
          <w:rFonts w:ascii="Arial Narrow" w:hAnsi="Arial Narrow"/>
          <w:color w:themeColor="accent1" w:val="4F81BD"/>
          <w:sz w:val="28"/>
        </w:rPr>
        <w:t xml:space="preserve">                  </w:t>
      </w:r>
      <w:r>
        <w:rPr>
          <w:rFonts w:ascii="Arial Narrow" w:hAnsi="Arial Narrow"/>
          <w:color w:themeColor="accent1" w:val="4F81BD"/>
          <w:sz w:val="28"/>
        </w:rPr>
        <w:t xml:space="preserve">  </w:t>
      </w:r>
      <w:r>
        <w:rPr>
          <w:rFonts w:ascii="Arial Narrow" w:hAnsi="Arial Narrow"/>
          <w:color w:val="D71920"/>
          <w:sz w:val="28"/>
        </w:rPr>
        <w:t>8-800-222-22-2</w:t>
      </w:r>
      <w:r>
        <w:rPr>
          <w:rFonts w:ascii="Arial Narrow" w:hAnsi="Arial Narrow"/>
          <w:color w:val="D71920"/>
          <w:sz w:val="28"/>
        </w:rPr>
        <w:t>2</w:t>
      </w:r>
    </w:p>
    <w:sectPr>
      <w:pgSz w:h="16838" w:w="11906"/>
      <w:pgMar w:bottom="851" w:footer="708" w:gutter="0" w:header="708" w:left="1134" w:right="566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Normal (Web)"/>
    <w:basedOn w:val="Style_2"/>
    <w:link w:val="Style_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8_ch" w:type="character">
    <w:name w:val="Normal (Web)"/>
    <w:basedOn w:val="Style_2_ch"/>
    <w:link w:val="Style_8"/>
    <w:rPr>
      <w:rFonts w:ascii="Times New Roman" w:hAnsi="Times New Roman"/>
      <w:sz w:val="24"/>
    </w:rPr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Default"/>
    <w:link w:val="Style_10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10_ch" w:type="character">
    <w:name w:val="Default"/>
    <w:link w:val="Style_10"/>
    <w:rPr>
      <w:rFonts w:ascii="Times New Roman" w:hAnsi="Times New Roman"/>
      <w:color w:val="000000"/>
      <w:sz w:val="24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" w:type="paragraph">
    <w:name w:val="Hyperlink"/>
    <w:basedOn w:val="Style_13"/>
    <w:link w:val="Style_1_ch"/>
    <w:rPr>
      <w:color w:themeColor="hyperlink" w:val="0000FF"/>
      <w:u w:val="single"/>
    </w:rPr>
  </w:style>
  <w:style w:styleId="Style_1_ch" w:type="character">
    <w:name w:val="Hyperlink"/>
    <w:basedOn w:val="Style_13_ch"/>
    <w:link w:val="Style_1"/>
    <w:rPr>
      <w:color w:themeColor="hyperlink"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7" w:type="paragraph">
    <w:name w:val="Balloon Text"/>
    <w:basedOn w:val="Style_2"/>
    <w:link w:val="Style_17_ch"/>
    <w:pPr>
      <w:spacing w:after="0" w:line="240" w:lineRule="auto"/>
      <w:ind/>
    </w:pPr>
    <w:rPr>
      <w:rFonts w:ascii="Tahoma" w:hAnsi="Tahoma"/>
      <w:sz w:val="16"/>
    </w:rPr>
  </w:style>
  <w:style w:styleId="Style_17_ch" w:type="character">
    <w:name w:val="Balloon Text"/>
    <w:basedOn w:val="Style_2_ch"/>
    <w:link w:val="Style_17"/>
    <w:rPr>
      <w:rFonts w:ascii="Tahoma" w:hAnsi="Tahoma"/>
      <w:sz w:val="16"/>
    </w:rPr>
  </w:style>
  <w:style w:styleId="Style_18" w:type="paragraph">
    <w:name w:val="List Paragraph"/>
    <w:basedOn w:val="Style_2"/>
    <w:link w:val="Style_18_ch"/>
    <w:pPr>
      <w:ind w:firstLine="0" w:left="720"/>
      <w:contextualSpacing w:val="1"/>
    </w:pPr>
  </w:style>
  <w:style w:styleId="Style_18_ch" w:type="character">
    <w:name w:val="List Paragraph"/>
    <w:basedOn w:val="Style_2_ch"/>
    <w:link w:val="Style_18"/>
  </w:style>
  <w:style w:styleId="Style_19" w:type="paragraph">
    <w:name w:val="toc 9"/>
    <w:next w:val="Style_2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2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2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2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2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2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2020-08-13T05:19:01Z</dcterms:modified>
</cp:coreProperties>
</file>