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6B7C0A" w:rsidP="00EC6122">
      <w:pPr>
        <w:pStyle w:val="Title"/>
        <w:spacing w:before="0" w:after="0"/>
        <w:ind w:left="142" w:firstLine="0"/>
        <w:contextualSpacing/>
        <w:rPr>
          <w:rFonts w:ascii="Times New Roman" w:hAnsi="Times New Roman" w:cs="Times New Roman"/>
        </w:rPr>
      </w:pPr>
      <w:r w:rsidRPr="006B7C0A">
        <w:rPr>
          <w:rFonts w:ascii="Times New Roman" w:hAnsi="Times New Roman" w:cs="Times New Roman"/>
          <w:noProof/>
        </w:rPr>
        <w:drawing>
          <wp:inline distT="0" distB="0" distL="0" distR="0">
            <wp:extent cx="838200" cy="10287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flipH="1">
                      <a:off x="0" y="0"/>
                      <a:ext cx="838200" cy="1028700"/>
                    </a:xfrm>
                    <a:prstGeom prst="rect">
                      <a:avLst/>
                    </a:prstGeom>
                    <a:noFill/>
                  </pic:spPr>
                </pic:pic>
              </a:graphicData>
            </a:graphic>
          </wp:inline>
        </w:drawing>
      </w:r>
    </w:p>
    <w:p w:rsidR="006B7C0A" w:rsidRPr="006B7C0A" w:rsidRDefault="006B7C0A" w:rsidP="006B7C0A">
      <w:pPr>
        <w:jc w:val="center"/>
        <w:rPr>
          <w:b/>
          <w:bCs/>
          <w:sz w:val="32"/>
          <w:szCs w:val="32"/>
        </w:rPr>
      </w:pPr>
      <w:r w:rsidRPr="006B7C0A">
        <w:rPr>
          <w:b/>
          <w:bCs/>
          <w:sz w:val="32"/>
          <w:szCs w:val="32"/>
        </w:rPr>
        <w:t xml:space="preserve">Совет сельского поселения «Южное» </w:t>
      </w:r>
    </w:p>
    <w:p w:rsidR="006B7C0A" w:rsidRPr="006B7C0A" w:rsidRDefault="006B7C0A" w:rsidP="006B7C0A">
      <w:pPr>
        <w:jc w:val="center"/>
        <w:rPr>
          <w:b/>
          <w:bCs/>
          <w:sz w:val="32"/>
          <w:szCs w:val="32"/>
        </w:rPr>
      </w:pPr>
      <w:r w:rsidRPr="006B7C0A">
        <w:rPr>
          <w:b/>
          <w:bCs/>
          <w:sz w:val="32"/>
          <w:szCs w:val="32"/>
        </w:rPr>
        <w:t>муниципального района «</w:t>
      </w:r>
      <w:proofErr w:type="spellStart"/>
      <w:r w:rsidRPr="006B7C0A">
        <w:rPr>
          <w:b/>
          <w:bCs/>
          <w:sz w:val="32"/>
          <w:szCs w:val="32"/>
        </w:rPr>
        <w:t>Борзинский</w:t>
      </w:r>
      <w:proofErr w:type="spellEnd"/>
      <w:r w:rsidRPr="006B7C0A">
        <w:rPr>
          <w:b/>
          <w:bCs/>
          <w:sz w:val="32"/>
          <w:szCs w:val="32"/>
        </w:rPr>
        <w:t xml:space="preserve"> район»</w:t>
      </w:r>
    </w:p>
    <w:p w:rsidR="006B7C0A" w:rsidRDefault="006B7C0A" w:rsidP="006B7C0A">
      <w:pPr>
        <w:pStyle w:val="Title"/>
        <w:spacing w:before="0" w:after="0"/>
        <w:ind w:left="142" w:firstLine="0"/>
        <w:contextualSpacing/>
        <w:rPr>
          <w:rFonts w:ascii="Times New Roman" w:hAnsi="Times New Roman" w:cs="Times New Roman"/>
        </w:rPr>
      </w:pPr>
    </w:p>
    <w:p w:rsidR="006B7C0A" w:rsidRPr="00CC2B22" w:rsidRDefault="006B7C0A" w:rsidP="006B7C0A">
      <w:pPr>
        <w:pStyle w:val="Title"/>
        <w:spacing w:before="0" w:after="0"/>
        <w:ind w:left="142" w:firstLine="0"/>
        <w:contextualSpacing/>
        <w:rPr>
          <w:rFonts w:ascii="Times New Roman" w:hAnsi="Times New Roman" w:cs="Times New Roman"/>
          <w:b w:val="0"/>
          <w:sz w:val="24"/>
          <w:szCs w:val="24"/>
        </w:rPr>
      </w:pPr>
    </w:p>
    <w:p w:rsidR="006B7C0A" w:rsidRPr="006B7C0A" w:rsidRDefault="006B7C0A" w:rsidP="006B7C0A">
      <w:pPr>
        <w:pStyle w:val="Title"/>
        <w:spacing w:before="0" w:after="0"/>
        <w:ind w:left="142" w:firstLine="0"/>
        <w:contextualSpacing/>
        <w:rPr>
          <w:rFonts w:ascii="Times New Roman" w:hAnsi="Times New Roman" w:cs="Times New Roman"/>
          <w:sz w:val="44"/>
          <w:szCs w:val="44"/>
        </w:rPr>
      </w:pPr>
      <w:proofErr w:type="gramStart"/>
      <w:r w:rsidRPr="006B7C0A">
        <w:rPr>
          <w:rFonts w:ascii="Times New Roman" w:hAnsi="Times New Roman" w:cs="Times New Roman"/>
          <w:sz w:val="44"/>
          <w:szCs w:val="44"/>
        </w:rPr>
        <w:t>Р</w:t>
      </w:r>
      <w:proofErr w:type="gramEnd"/>
      <w:r w:rsidRPr="006B7C0A">
        <w:rPr>
          <w:rFonts w:ascii="Times New Roman" w:hAnsi="Times New Roman" w:cs="Times New Roman"/>
          <w:sz w:val="44"/>
          <w:szCs w:val="44"/>
        </w:rPr>
        <w:t xml:space="preserve"> Е Ш Е Н И Е</w:t>
      </w:r>
    </w:p>
    <w:p w:rsidR="006B7C0A" w:rsidRPr="00CC2B22" w:rsidRDefault="006B7C0A" w:rsidP="006B7C0A">
      <w:pPr>
        <w:ind w:left="142"/>
        <w:contextualSpacing/>
        <w:jc w:val="center"/>
        <w:rPr>
          <w:sz w:val="28"/>
          <w:szCs w:val="28"/>
        </w:rPr>
      </w:pPr>
    </w:p>
    <w:p w:rsidR="006B7C0A" w:rsidRPr="00CC2B22" w:rsidRDefault="006B7C0A" w:rsidP="00EC6122">
      <w:pPr>
        <w:pStyle w:val="Title"/>
        <w:spacing w:before="0" w:after="0"/>
        <w:ind w:left="142" w:firstLine="0"/>
        <w:contextualSpacing/>
        <w:rPr>
          <w:rFonts w:ascii="Times New Roman" w:hAnsi="Times New Roman" w:cs="Times New Roman"/>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69069E" w:rsidP="00EC6122">
      <w:pPr>
        <w:ind w:left="142"/>
        <w:contextualSpacing/>
        <w:jc w:val="center"/>
        <w:rPr>
          <w:bCs/>
          <w:sz w:val="28"/>
          <w:szCs w:val="28"/>
        </w:rPr>
      </w:pPr>
      <w:r>
        <w:rPr>
          <w:sz w:val="28"/>
          <w:szCs w:val="28"/>
        </w:rPr>
        <w:t xml:space="preserve">«07» декабря 2020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124</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B7C0A" w:rsidRPr="006B7C0A">
        <w:rPr>
          <w:rFonts w:ascii="Times New Roman" w:hAnsi="Times New Roman" w:cs="Times New Roman"/>
          <w:sz w:val="28"/>
          <w:szCs w:val="28"/>
        </w:rPr>
        <w:t>«Южное»</w:t>
      </w:r>
      <w:r w:rsidR="006B7C0A">
        <w:rPr>
          <w:rFonts w:ascii="Times New Roman" w:hAnsi="Times New Roman" w:cs="Times New Roman"/>
          <w:b w:val="0"/>
          <w:i/>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6B7C0A">
        <w:rPr>
          <w:sz w:val="28"/>
          <w:szCs w:val="28"/>
        </w:rPr>
        <w:t>«</w:t>
      </w:r>
      <w:proofErr w:type="spellStart"/>
      <w:r w:rsidR="006B7C0A" w:rsidRPr="006B7C0A">
        <w:rPr>
          <w:rFonts w:ascii="Times New Roman" w:hAnsi="Times New Roman" w:cs="Times New Roman"/>
          <w:sz w:val="28"/>
          <w:szCs w:val="28"/>
        </w:rPr>
        <w:t>Борзинский</w:t>
      </w:r>
      <w:proofErr w:type="spellEnd"/>
      <w:r w:rsidR="006B7C0A" w:rsidRPr="006B7C0A">
        <w:rPr>
          <w:rFonts w:ascii="Times New Roman" w:hAnsi="Times New Roman" w:cs="Times New Roman"/>
          <w:sz w:val="28"/>
          <w:szCs w:val="28"/>
        </w:rPr>
        <w:t xml:space="preserve"> район</w:t>
      </w:r>
      <w:r w:rsidR="006B7C0A">
        <w:rPr>
          <w:sz w:val="28"/>
          <w:szCs w:val="28"/>
        </w:rPr>
        <w:t>»</w:t>
      </w:r>
      <w:r w:rsidR="006B7C0A" w:rsidRPr="00CC2B22">
        <w:rPr>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6B7C0A" w:rsidRPr="006B7C0A">
        <w:rPr>
          <w:sz w:val="28"/>
          <w:szCs w:val="28"/>
        </w:rPr>
        <w:t xml:space="preserve"> </w:t>
      </w:r>
      <w:r w:rsidR="006B7C0A">
        <w:rPr>
          <w:sz w:val="28"/>
          <w:szCs w:val="28"/>
        </w:rPr>
        <w:t>«Южное»,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6B7C0A" w:rsidRPr="006B7C0A">
        <w:rPr>
          <w:sz w:val="28"/>
          <w:szCs w:val="28"/>
        </w:rPr>
        <w:t xml:space="preserve"> </w:t>
      </w:r>
      <w:r w:rsidR="006B7C0A">
        <w:rPr>
          <w:sz w:val="28"/>
          <w:szCs w:val="28"/>
        </w:rPr>
        <w:t>Южное»</w:t>
      </w:r>
      <w:r w:rsidR="00B87B30" w:rsidRPr="00CC2B22">
        <w:rPr>
          <w:bCs/>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6B7C0A">
        <w:rPr>
          <w:sz w:val="28"/>
          <w:szCs w:val="28"/>
        </w:rPr>
        <w:t>«Южное»</w:t>
      </w:r>
      <w:r w:rsidRPr="00CC2B22">
        <w:rPr>
          <w:sz w:val="28"/>
          <w:szCs w:val="28"/>
        </w:rPr>
        <w:t xml:space="preserve"> </w:t>
      </w:r>
      <w:r w:rsidR="007216B0" w:rsidRPr="00CC2B22">
        <w:rPr>
          <w:sz w:val="28"/>
          <w:szCs w:val="28"/>
        </w:rPr>
        <w:t>муниципального района</w:t>
      </w:r>
      <w:r w:rsidR="006B7C0A">
        <w:rPr>
          <w:sz w:val="28"/>
          <w:szCs w:val="28"/>
        </w:rPr>
        <w:t xml:space="preserve"> «</w:t>
      </w:r>
      <w:proofErr w:type="spellStart"/>
      <w:r w:rsidR="006B7C0A">
        <w:rPr>
          <w:sz w:val="28"/>
          <w:szCs w:val="28"/>
        </w:rPr>
        <w:t>Борзинский</w:t>
      </w:r>
      <w:proofErr w:type="spellEnd"/>
      <w:r w:rsidR="006B7C0A">
        <w:rPr>
          <w:sz w:val="28"/>
          <w:szCs w:val="28"/>
        </w:rPr>
        <w:t xml:space="preserve"> район»</w:t>
      </w:r>
      <w:r w:rsidR="006B7C0A" w:rsidRPr="00CC2B22">
        <w:rPr>
          <w:sz w:val="28"/>
          <w:szCs w:val="28"/>
        </w:rPr>
        <w:t xml:space="preserve"> </w:t>
      </w:r>
      <w:r w:rsidR="007216B0" w:rsidRPr="00CC2B2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5100F7" w:rsidRDefault="003A570D" w:rsidP="005100F7">
      <w:pPr>
        <w:ind w:left="142" w:firstLine="709"/>
        <w:contextualSpacing/>
        <w:jc w:val="both"/>
        <w:rPr>
          <w:sz w:val="28"/>
        </w:rPr>
      </w:pPr>
      <w:r>
        <w:rPr>
          <w:sz w:val="28"/>
          <w:szCs w:val="28"/>
        </w:rPr>
        <w:t>2.</w:t>
      </w:r>
      <w:r w:rsidRPr="003A570D">
        <w:rPr>
          <w:sz w:val="28"/>
          <w:szCs w:val="28"/>
        </w:rPr>
        <w:t xml:space="preserve"> </w:t>
      </w:r>
      <w:r w:rsidRPr="00DB2A3B">
        <w:rPr>
          <w:sz w:val="28"/>
          <w:szCs w:val="28"/>
        </w:rPr>
        <w:t xml:space="preserve">Признать утратившим силу решение </w:t>
      </w:r>
      <w:r>
        <w:rPr>
          <w:sz w:val="28"/>
          <w:szCs w:val="28"/>
        </w:rPr>
        <w:t xml:space="preserve">№ 35 от </w:t>
      </w:r>
      <w:r w:rsidR="005100F7">
        <w:rPr>
          <w:sz w:val="28"/>
          <w:szCs w:val="28"/>
        </w:rPr>
        <w:t>18.01.2013</w:t>
      </w:r>
      <w:r>
        <w:rPr>
          <w:sz w:val="28"/>
          <w:szCs w:val="28"/>
        </w:rPr>
        <w:t>г</w:t>
      </w:r>
      <w:r w:rsidRPr="00416ECE">
        <w:rPr>
          <w:sz w:val="28"/>
          <w:szCs w:val="28"/>
        </w:rPr>
        <w:t xml:space="preserve"> </w:t>
      </w:r>
      <w:r>
        <w:rPr>
          <w:sz w:val="28"/>
          <w:szCs w:val="28"/>
        </w:rPr>
        <w:t>«</w:t>
      </w:r>
      <w:r w:rsidR="005100F7">
        <w:rPr>
          <w:sz w:val="28"/>
        </w:rPr>
        <w:t>Об утверждении Правил благоустройства и озеленения территории сельского поселения «Южное»</w:t>
      </w:r>
    </w:p>
    <w:p w:rsidR="00EC6122" w:rsidRPr="00CC2B22" w:rsidRDefault="003A570D" w:rsidP="005100F7">
      <w:pPr>
        <w:ind w:left="142" w:firstLine="709"/>
        <w:contextualSpacing/>
        <w:jc w:val="both"/>
        <w:rPr>
          <w:sz w:val="28"/>
          <w:szCs w:val="28"/>
        </w:rPr>
      </w:pPr>
      <w:r>
        <w:rPr>
          <w:sz w:val="28"/>
          <w:szCs w:val="28"/>
        </w:rPr>
        <w:t>3</w:t>
      </w:r>
      <w:r w:rsidR="00EC6122" w:rsidRPr="00CC2B22">
        <w:rPr>
          <w:sz w:val="28"/>
          <w:szCs w:val="28"/>
        </w:rPr>
        <w:t>. Настоящее решение вступает в силу на следующий день после его официального опубликования (обнарод</w:t>
      </w:r>
      <w:bookmarkStart w:id="0" w:name="_GoBack"/>
      <w:bookmarkEnd w:id="0"/>
      <w:r w:rsidR="00EC6122" w:rsidRPr="00CC2B22">
        <w:rPr>
          <w:sz w:val="28"/>
          <w:szCs w:val="28"/>
        </w:rPr>
        <w:t>ования)</w:t>
      </w:r>
      <w:r w:rsidR="006B7C0A">
        <w:rPr>
          <w:sz w:val="28"/>
          <w:szCs w:val="28"/>
        </w:rPr>
        <w:t>.</w:t>
      </w:r>
    </w:p>
    <w:p w:rsidR="006B7C0A" w:rsidRPr="00E87292" w:rsidRDefault="003A570D" w:rsidP="006B7C0A">
      <w:pPr>
        <w:ind w:firstLine="709"/>
        <w:jc w:val="both"/>
        <w:rPr>
          <w:szCs w:val="28"/>
        </w:rPr>
      </w:pPr>
      <w:r>
        <w:rPr>
          <w:sz w:val="28"/>
          <w:szCs w:val="28"/>
        </w:rPr>
        <w:t xml:space="preserve"> 4. </w:t>
      </w:r>
      <w:r w:rsidR="006B7C0A" w:rsidRPr="00CC2B22">
        <w:rPr>
          <w:sz w:val="28"/>
          <w:szCs w:val="28"/>
        </w:rPr>
        <w:t xml:space="preserve">Настоящее решение опубликовать (обнародовать) </w:t>
      </w:r>
      <w:r w:rsidR="006B7C0A">
        <w:rPr>
          <w:sz w:val="28"/>
          <w:szCs w:val="28"/>
        </w:rPr>
        <w:t xml:space="preserve">на информационном стенде сельского </w:t>
      </w:r>
      <w:r w:rsidR="00761651">
        <w:rPr>
          <w:sz w:val="28"/>
          <w:szCs w:val="28"/>
        </w:rPr>
        <w:t>п</w:t>
      </w:r>
      <w:r w:rsidR="006B7C0A">
        <w:rPr>
          <w:sz w:val="28"/>
          <w:szCs w:val="28"/>
        </w:rPr>
        <w:t xml:space="preserve">оселения «Южное» </w:t>
      </w:r>
      <w:r w:rsidR="006B7C0A" w:rsidRPr="00E87292">
        <w:rPr>
          <w:sz w:val="28"/>
          <w:szCs w:val="28"/>
        </w:rPr>
        <w:t xml:space="preserve">по адресу: Забайкальский край, </w:t>
      </w:r>
      <w:proofErr w:type="spellStart"/>
      <w:r w:rsidR="006B7C0A" w:rsidRPr="00E87292">
        <w:rPr>
          <w:sz w:val="28"/>
          <w:szCs w:val="28"/>
        </w:rPr>
        <w:t>Борзинский</w:t>
      </w:r>
      <w:proofErr w:type="spellEnd"/>
      <w:r w:rsidR="006B7C0A" w:rsidRPr="00E87292">
        <w:rPr>
          <w:sz w:val="28"/>
          <w:szCs w:val="28"/>
        </w:rPr>
        <w:t xml:space="preserve"> район, с.Южное, ул.Мира, д.1.</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6B7C0A" w:rsidP="0061313F">
      <w:pPr>
        <w:rPr>
          <w:sz w:val="28"/>
          <w:szCs w:val="28"/>
        </w:rPr>
      </w:pPr>
      <w:r w:rsidRPr="003E44A3">
        <w:rPr>
          <w:sz w:val="28"/>
          <w:szCs w:val="28"/>
        </w:rPr>
        <w:t>Глава сельского поселения «Южное»                            О.М Машукова</w:t>
      </w:r>
    </w:p>
    <w:p w:rsidR="00EC6122" w:rsidRPr="00CC2B22" w:rsidRDefault="00EC6122" w:rsidP="006B7C0A">
      <w:pPr>
        <w:suppressAutoHyphens w:val="0"/>
        <w:contextualSpacing/>
        <w:jc w:val="both"/>
        <w:rPr>
          <w:b/>
          <w:color w:val="000000"/>
          <w:sz w:val="28"/>
          <w:szCs w:val="28"/>
          <w:lang w:eastAsia="ru-RU"/>
        </w:rPr>
      </w:pPr>
    </w:p>
    <w:p w:rsidR="007870F7" w:rsidRPr="007870F7" w:rsidRDefault="00B87B30" w:rsidP="007870F7">
      <w:pPr>
        <w:ind w:left="4536" w:right="-2"/>
        <w:jc w:val="center"/>
        <w:rPr>
          <w:bCs/>
          <w:sz w:val="28"/>
        </w:rPr>
      </w:pPr>
      <w:r w:rsidRPr="007870F7">
        <w:rPr>
          <w:bCs/>
          <w:sz w:val="28"/>
        </w:rPr>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6B7C0A">
        <w:rPr>
          <w:sz w:val="28"/>
        </w:rPr>
        <w:t xml:space="preserve">«Южное» </w:t>
      </w:r>
      <w:r w:rsidRPr="007870F7">
        <w:rPr>
          <w:sz w:val="28"/>
        </w:rPr>
        <w:t xml:space="preserve">от </w:t>
      </w:r>
      <w:r w:rsidR="00AC41F6" w:rsidRPr="007870F7">
        <w:rPr>
          <w:sz w:val="28"/>
        </w:rPr>
        <w:br/>
      </w:r>
      <w:r w:rsidR="0069069E">
        <w:rPr>
          <w:sz w:val="28"/>
        </w:rPr>
        <w:t>«07</w:t>
      </w:r>
      <w:r w:rsidRPr="007870F7">
        <w:rPr>
          <w:sz w:val="28"/>
        </w:rPr>
        <w:t>»</w:t>
      </w:r>
      <w:r w:rsidR="00AC41F6" w:rsidRPr="007870F7">
        <w:rPr>
          <w:sz w:val="28"/>
        </w:rPr>
        <w:t xml:space="preserve"> </w:t>
      </w:r>
      <w:r w:rsidR="0069069E">
        <w:rPr>
          <w:sz w:val="28"/>
        </w:rPr>
        <w:t xml:space="preserve">декабря </w:t>
      </w:r>
      <w:r w:rsidRPr="007870F7">
        <w:rPr>
          <w:sz w:val="28"/>
        </w:rPr>
        <w:t>20</w:t>
      </w:r>
      <w:r w:rsidR="0069069E">
        <w:rPr>
          <w:sz w:val="28"/>
        </w:rPr>
        <w:t xml:space="preserve">20 </w:t>
      </w:r>
      <w:r w:rsidRPr="007870F7">
        <w:rPr>
          <w:sz w:val="28"/>
        </w:rPr>
        <w:t>года №</w:t>
      </w:r>
      <w:r w:rsidR="0069069E">
        <w:rPr>
          <w:sz w:val="28"/>
        </w:rPr>
        <w:t>124</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2C4C00" w:rsidRDefault="00245B7C" w:rsidP="00EC6122">
      <w:pPr>
        <w:shd w:val="clear" w:color="auto" w:fill="FFFFFF"/>
        <w:suppressAutoHyphens w:val="0"/>
        <w:ind w:left="142" w:firstLine="709"/>
        <w:contextualSpacing/>
        <w:rPr>
          <w:b/>
          <w:color w:val="000000"/>
          <w:sz w:val="28"/>
          <w:szCs w:val="28"/>
          <w:lang w:eastAsia="ru-RU"/>
        </w:rPr>
      </w:pPr>
      <w:r w:rsidRPr="00CC2B22">
        <w:rPr>
          <w:b/>
          <w:color w:val="000000"/>
          <w:sz w:val="28"/>
          <w:szCs w:val="28"/>
          <w:lang w:eastAsia="ru-RU"/>
        </w:rPr>
        <w:t xml:space="preserve">благоустройства территории сельского поселения </w:t>
      </w:r>
      <w:r>
        <w:rPr>
          <w:b/>
          <w:color w:val="000000"/>
          <w:sz w:val="28"/>
          <w:szCs w:val="28"/>
          <w:lang w:eastAsia="ru-RU"/>
        </w:rPr>
        <w:t>«Южное»</w:t>
      </w:r>
      <w:r w:rsidRPr="00CC2B22">
        <w:rPr>
          <w:b/>
          <w:color w:val="000000"/>
          <w:sz w:val="28"/>
          <w:szCs w:val="28"/>
          <w:lang w:eastAsia="ru-RU"/>
        </w:rPr>
        <w:t xml:space="preserve"> муниципального района </w:t>
      </w:r>
      <w:r>
        <w:rPr>
          <w:b/>
          <w:color w:val="000000"/>
          <w:sz w:val="28"/>
          <w:szCs w:val="28"/>
          <w:lang w:eastAsia="ru-RU"/>
        </w:rPr>
        <w:t>«</w:t>
      </w:r>
      <w:proofErr w:type="spellStart"/>
      <w:r>
        <w:rPr>
          <w:b/>
          <w:color w:val="000000"/>
          <w:sz w:val="28"/>
          <w:szCs w:val="28"/>
          <w:lang w:eastAsia="ru-RU"/>
        </w:rPr>
        <w:t>Борзинский</w:t>
      </w:r>
      <w:proofErr w:type="spellEnd"/>
      <w:r>
        <w:rPr>
          <w:b/>
          <w:color w:val="000000"/>
          <w:sz w:val="28"/>
          <w:szCs w:val="28"/>
          <w:lang w:eastAsia="ru-RU"/>
        </w:rPr>
        <w:t xml:space="preserve"> район»</w:t>
      </w:r>
      <w:r w:rsidRPr="00CC2B22">
        <w:rPr>
          <w:i/>
          <w:sz w:val="28"/>
          <w:szCs w:val="28"/>
        </w:rPr>
        <w:t xml:space="preserve"> </w:t>
      </w:r>
      <w:r w:rsidRPr="00CC2B22">
        <w:rPr>
          <w:b/>
          <w:color w:val="000000"/>
          <w:sz w:val="28"/>
          <w:szCs w:val="28"/>
          <w:lang w:eastAsia="ru-RU"/>
        </w:rPr>
        <w:t>Забайкальского края</w:t>
      </w:r>
    </w:p>
    <w:p w:rsidR="00245B7C" w:rsidRPr="00CC2B22" w:rsidRDefault="00245B7C"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45B7C">
        <w:rPr>
          <w:sz w:val="28"/>
          <w:szCs w:val="28"/>
        </w:rPr>
        <w:t>«Южное»</w:t>
      </w:r>
      <w:r w:rsidR="00245B7C" w:rsidRPr="00CC2B22">
        <w:rPr>
          <w:sz w:val="28"/>
          <w:szCs w:val="28"/>
        </w:rPr>
        <w:t xml:space="preserve"> </w:t>
      </w:r>
      <w:r w:rsidR="007216B0" w:rsidRPr="00CC2B22">
        <w:rPr>
          <w:sz w:val="28"/>
          <w:szCs w:val="28"/>
        </w:rPr>
        <w:t>муниципального района</w:t>
      </w:r>
      <w:r w:rsidR="00245B7C">
        <w:rPr>
          <w:sz w:val="28"/>
          <w:szCs w:val="28"/>
        </w:rPr>
        <w:t xml:space="preserve"> «</w:t>
      </w:r>
      <w:proofErr w:type="spellStart"/>
      <w:r w:rsidR="00245B7C">
        <w:rPr>
          <w:sz w:val="28"/>
          <w:szCs w:val="28"/>
        </w:rPr>
        <w:t>Борзинский</w:t>
      </w:r>
      <w:proofErr w:type="spellEnd"/>
      <w:r w:rsidR="00245B7C">
        <w:rPr>
          <w:sz w:val="28"/>
          <w:szCs w:val="28"/>
        </w:rPr>
        <w:t xml:space="preserve">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w:t>
      </w:r>
      <w:r w:rsidRPr="00CC2B22">
        <w:rPr>
          <w:sz w:val="28"/>
          <w:szCs w:val="28"/>
        </w:rPr>
        <w:lastRenderedPageBreak/>
        <w:t xml:space="preserve">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xml:space="preserve">,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w:t>
      </w:r>
      <w:proofErr w:type="spellStart"/>
      <w:r w:rsidRPr="00CC2B22">
        <w:rPr>
          <w:bCs/>
          <w:sz w:val="28"/>
          <w:szCs w:val="28"/>
          <w:lang w:eastAsia="ru-RU"/>
        </w:rPr>
        <w:t>неотведенных</w:t>
      </w:r>
      <w:proofErr w:type="spellEnd"/>
      <w:r w:rsidRPr="00CC2B22">
        <w:rPr>
          <w:bCs/>
          <w:sz w:val="28"/>
          <w:szCs w:val="28"/>
          <w:lang w:eastAsia="ru-RU"/>
        </w:rPr>
        <w:t xml:space="preserve">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r w:rsidR="005A644A">
        <w:rPr>
          <w:spacing w:val="2"/>
          <w:sz w:val="28"/>
        </w:rPr>
        <w:t>«Южное»</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37" w:rsidRDefault="00284A37" w:rsidP="00AE1888">
      <w:r>
        <w:separator/>
      </w:r>
    </w:p>
  </w:endnote>
  <w:endnote w:type="continuationSeparator" w:id="0">
    <w:p w:rsidR="00284A37" w:rsidRDefault="00284A3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37" w:rsidRDefault="00284A37" w:rsidP="00AE1888">
      <w:r>
        <w:separator/>
      </w:r>
    </w:p>
  </w:footnote>
  <w:footnote w:type="continuationSeparator" w:id="0">
    <w:p w:rsidR="00284A37" w:rsidRDefault="00284A37" w:rsidP="00AE1888">
      <w:r>
        <w:continuationSeparator/>
      </w:r>
    </w:p>
  </w:footnote>
  <w:footnote w:id="1">
    <w:p w:rsidR="003A570D" w:rsidRDefault="003A570D">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A570D" w:rsidRDefault="002A597C">
        <w:pPr>
          <w:pStyle w:val="ad"/>
          <w:jc w:val="center"/>
        </w:pPr>
        <w:fldSimple w:instr="PAGE   \* MERGEFORMAT">
          <w:r w:rsidR="0061313F">
            <w:rPr>
              <w:noProof/>
            </w:rPr>
            <w:t>4</w:t>
          </w:r>
        </w:fldSimple>
      </w:p>
    </w:sdtContent>
  </w:sdt>
  <w:p w:rsidR="003A570D" w:rsidRDefault="003A570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074B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75EDB"/>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5B7C"/>
    <w:rsid w:val="00247C51"/>
    <w:rsid w:val="00253908"/>
    <w:rsid w:val="00257415"/>
    <w:rsid w:val="0025753B"/>
    <w:rsid w:val="0026067D"/>
    <w:rsid w:val="00260798"/>
    <w:rsid w:val="00262DC9"/>
    <w:rsid w:val="002655C0"/>
    <w:rsid w:val="002667DF"/>
    <w:rsid w:val="002715C8"/>
    <w:rsid w:val="00275480"/>
    <w:rsid w:val="00284A37"/>
    <w:rsid w:val="0029070E"/>
    <w:rsid w:val="002A591E"/>
    <w:rsid w:val="002A597C"/>
    <w:rsid w:val="002B49A8"/>
    <w:rsid w:val="002B5062"/>
    <w:rsid w:val="002C4C00"/>
    <w:rsid w:val="002D4FA7"/>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1AAE"/>
    <w:rsid w:val="003874E0"/>
    <w:rsid w:val="003A2F58"/>
    <w:rsid w:val="003A570D"/>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00F7"/>
    <w:rsid w:val="00517B04"/>
    <w:rsid w:val="00522139"/>
    <w:rsid w:val="00522902"/>
    <w:rsid w:val="005243CA"/>
    <w:rsid w:val="005258D4"/>
    <w:rsid w:val="00537CF2"/>
    <w:rsid w:val="00542B1E"/>
    <w:rsid w:val="00557034"/>
    <w:rsid w:val="00567189"/>
    <w:rsid w:val="00570599"/>
    <w:rsid w:val="005718BD"/>
    <w:rsid w:val="005A0954"/>
    <w:rsid w:val="005A3F3A"/>
    <w:rsid w:val="005A644A"/>
    <w:rsid w:val="005B0B1E"/>
    <w:rsid w:val="005B1409"/>
    <w:rsid w:val="005B2D1A"/>
    <w:rsid w:val="005B564E"/>
    <w:rsid w:val="005D3AF3"/>
    <w:rsid w:val="005F186A"/>
    <w:rsid w:val="005F46CC"/>
    <w:rsid w:val="005F4C39"/>
    <w:rsid w:val="0060567D"/>
    <w:rsid w:val="00605950"/>
    <w:rsid w:val="0061313F"/>
    <w:rsid w:val="0061609D"/>
    <w:rsid w:val="00625B84"/>
    <w:rsid w:val="00631409"/>
    <w:rsid w:val="00663B59"/>
    <w:rsid w:val="00667AB5"/>
    <w:rsid w:val="00671E62"/>
    <w:rsid w:val="006744FD"/>
    <w:rsid w:val="00677831"/>
    <w:rsid w:val="00681765"/>
    <w:rsid w:val="00681B98"/>
    <w:rsid w:val="00681F57"/>
    <w:rsid w:val="0069069E"/>
    <w:rsid w:val="00693A38"/>
    <w:rsid w:val="0069437A"/>
    <w:rsid w:val="00695510"/>
    <w:rsid w:val="006966C3"/>
    <w:rsid w:val="00697576"/>
    <w:rsid w:val="00697E3A"/>
    <w:rsid w:val="006A05B6"/>
    <w:rsid w:val="006A4ED7"/>
    <w:rsid w:val="006A7035"/>
    <w:rsid w:val="006B7C0A"/>
    <w:rsid w:val="006C4630"/>
    <w:rsid w:val="006E0FE0"/>
    <w:rsid w:val="006F7A9E"/>
    <w:rsid w:val="00704A6A"/>
    <w:rsid w:val="0070581B"/>
    <w:rsid w:val="007216B0"/>
    <w:rsid w:val="007274EB"/>
    <w:rsid w:val="007275EF"/>
    <w:rsid w:val="00734D5C"/>
    <w:rsid w:val="0074019D"/>
    <w:rsid w:val="007421DD"/>
    <w:rsid w:val="00745148"/>
    <w:rsid w:val="0075100D"/>
    <w:rsid w:val="00756112"/>
    <w:rsid w:val="0075637F"/>
    <w:rsid w:val="00761651"/>
    <w:rsid w:val="00771BA9"/>
    <w:rsid w:val="007870F7"/>
    <w:rsid w:val="00790804"/>
    <w:rsid w:val="007A2C72"/>
    <w:rsid w:val="007B4885"/>
    <w:rsid w:val="007B54C4"/>
    <w:rsid w:val="007C78F5"/>
    <w:rsid w:val="007D58B6"/>
    <w:rsid w:val="007E32B7"/>
    <w:rsid w:val="007E39F6"/>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17103"/>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96A45"/>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78D2-E6EE-4CDD-BD0D-90D43001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22234</Words>
  <Characters>126736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Южное</cp:lastModifiedBy>
  <cp:revision>29</cp:revision>
  <cp:lastPrinted>2020-12-18T01:40:00Z</cp:lastPrinted>
  <dcterms:created xsi:type="dcterms:W3CDTF">2020-09-25T01:20:00Z</dcterms:created>
  <dcterms:modified xsi:type="dcterms:W3CDTF">2020-12-18T01:40:00Z</dcterms:modified>
</cp:coreProperties>
</file>