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DB" w:rsidRDefault="004039DB" w:rsidP="00EC44C2">
      <w:pPr>
        <w:spacing w:line="240" w:lineRule="atLeast"/>
        <w:jc w:val="center"/>
        <w:rPr>
          <w:b/>
        </w:rPr>
      </w:pPr>
      <w:r w:rsidRPr="004039DB">
        <w:rPr>
          <w:b/>
        </w:rPr>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0" w:name="P40"/>
      <w:bookmarkEnd w:id="0"/>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1" w:name="P48"/>
      <w:bookmarkEnd w:id="1"/>
      <w:proofErr w:type="spellStart"/>
      <w:r w:rsidRPr="00EC44C2">
        <w:t>II</w:t>
      </w:r>
      <w:proofErr w:type="spellEnd"/>
      <w:r w:rsidRPr="00EC44C2">
        <w:t>.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proofErr w:type="spellStart"/>
      <w:r w:rsidRPr="00EC44C2">
        <w:t>III</w:t>
      </w:r>
      <w:proofErr w:type="spellEnd"/>
      <w:r w:rsidRPr="00EC44C2">
        <w:t>.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82"/>
      <w:bookmarkEnd w:id="2"/>
      <w:proofErr w:type="spellStart"/>
      <w:r w:rsidRPr="00EC44C2">
        <w:t>IV</w:t>
      </w:r>
      <w:proofErr w:type="spellEnd"/>
      <w:r w:rsidRPr="00EC44C2">
        <w:t>.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3" w:name="P98"/>
      <w:bookmarkEnd w:id="3"/>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EC44C2">
        <w:t>коронавирусной</w:t>
      </w:r>
      <w:proofErr w:type="spellEnd"/>
      <w:r w:rsidRPr="00EC44C2">
        <w:t xml:space="preserve"> инфекции (</w:t>
      </w:r>
      <w:proofErr w:type="spellStart"/>
      <w:r w:rsidRPr="00EC44C2">
        <w:t>COVID</w:t>
      </w:r>
      <w:proofErr w:type="spellEnd"/>
      <w:r w:rsidRPr="00EC44C2">
        <w:t>-19)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4" w:name="P114"/>
      <w:bookmarkEnd w:id="4"/>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w:t>
      </w:r>
      <w:proofErr w:type="spellStart"/>
      <w:r w:rsidRPr="00EC44C2">
        <w:t>II</w:t>
      </w:r>
      <w:proofErr w:type="spellEnd"/>
      <w:r w:rsidRPr="00EC44C2">
        <w:t xml:space="preserve"> - </w:t>
      </w:r>
      <w:proofErr w:type="spellStart"/>
      <w:r w:rsidRPr="00EC44C2">
        <w:t>IV</w:t>
      </w:r>
      <w:proofErr w:type="spellEnd"/>
      <w:r w:rsidRPr="00EC44C2">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 xml:space="preserve">и социальной защиты Российской Федерации от 26 апреля 2013 г. № </w:t>
      </w:r>
      <w:proofErr w:type="spellStart"/>
      <w:r w:rsidRPr="00EC44C2">
        <w:t>167н</w:t>
      </w:r>
      <w:proofErr w:type="spellEnd"/>
      <w:r w:rsidRPr="00EC44C2">
        <w:t>.</w:t>
      </w:r>
    </w:p>
    <w:p w:rsidR="004039DB" w:rsidRPr="00EC44C2" w:rsidRDefault="004039DB" w:rsidP="00642668">
      <w:pPr>
        <w:spacing w:line="240" w:lineRule="atLeast"/>
        <w:jc w:val="center"/>
      </w:pPr>
    </w:p>
    <w:p w:rsidR="004039DB" w:rsidRPr="00EC44C2" w:rsidRDefault="004039DB" w:rsidP="00642668">
      <w:pPr>
        <w:spacing w:line="240" w:lineRule="atLeast"/>
        <w:jc w:val="center"/>
      </w:pPr>
      <w:proofErr w:type="spellStart"/>
      <w:r w:rsidRPr="00EC44C2">
        <w:t>VI</w:t>
      </w:r>
      <w:proofErr w:type="spellEnd"/>
      <w:r w:rsidRPr="00EC44C2">
        <w:t>.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5" w:name="P163"/>
      <w:bookmarkEnd w:id="5"/>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proofErr w:type="spellStart"/>
      <w:r w:rsidRPr="00EC44C2">
        <w:t>VII</w:t>
      </w:r>
      <w:proofErr w:type="spellEnd"/>
      <w:r w:rsidRPr="00EC44C2">
        <w:t>.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proofErr w:type="spellStart"/>
      <w:r w:rsidRPr="00EC44C2">
        <w:t>VIII</w:t>
      </w:r>
      <w:proofErr w:type="spellEnd"/>
      <w:r w:rsidRPr="00EC44C2">
        <w:t>.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 xml:space="preserve">разделах </w:t>
      </w:r>
      <w:proofErr w:type="spellStart"/>
      <w:r w:rsidRPr="00642668">
        <w:t>II</w:t>
      </w:r>
      <w:proofErr w:type="spellEnd"/>
      <w:r w:rsidRPr="00EC44C2">
        <w:t xml:space="preserve"> - </w:t>
      </w:r>
      <w:proofErr w:type="spellStart"/>
      <w:r w:rsidRPr="00642668">
        <w:t>IV</w:t>
      </w:r>
      <w:proofErr w:type="spellEnd"/>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w:t>
      </w:r>
      <w:proofErr w:type="spellStart"/>
      <w:r w:rsidRPr="00EC44C2">
        <w:t>Минобрнауки</w:t>
      </w:r>
      <w:proofErr w:type="spellEnd"/>
      <w:r w:rsidRPr="00EC44C2">
        <w:t xml:space="preserve"> России от 06.05.2022 № 442); 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w:t>
      </w:r>
      <w:proofErr w:type="spellStart"/>
      <w:r w:rsidRPr="00642668">
        <w:t>НМ</w:t>
      </w:r>
      <w:proofErr w:type="spellEnd"/>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proofErr w:type="spellStart"/>
      <w:r w:rsidRPr="00642668">
        <w:t>IV</w:t>
      </w:r>
      <w:proofErr w:type="spellEnd"/>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w:t>
      </w:r>
      <w:proofErr w:type="spellStart"/>
      <w:r w:rsidRPr="00EC44C2">
        <w:t>167н</w:t>
      </w:r>
      <w:proofErr w:type="spellEnd"/>
      <w:r w:rsidRPr="00EC44C2">
        <w:t>.</w:t>
      </w:r>
    </w:p>
    <w:p w:rsidR="004039DB" w:rsidRPr="00EC44C2" w:rsidRDefault="004039DB" w:rsidP="00EC44C2">
      <w:pPr>
        <w:ind w:firstLine="709"/>
      </w:pPr>
    </w:p>
    <w:p w:rsidR="004039DB" w:rsidRPr="00EC44C2" w:rsidRDefault="004039DB" w:rsidP="002F4581">
      <w:pPr>
        <w:keepNext/>
        <w:spacing w:line="240" w:lineRule="atLeast"/>
        <w:jc w:val="center"/>
      </w:pPr>
      <w:proofErr w:type="spellStart"/>
      <w:r w:rsidRPr="00EC44C2">
        <w:lastRenderedPageBreak/>
        <w:t>IX</w:t>
      </w:r>
      <w:proofErr w:type="spellEnd"/>
      <w:r w:rsidRPr="00EC44C2">
        <w:t>.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EC44C2">
        <w:t>Минобрнауки</w:t>
      </w:r>
      <w:proofErr w:type="spellEnd"/>
      <w:r w:rsidRPr="00EC44C2">
        <w:t xml:space="preserve"> России от 29 декабря 2017 г. № </w:t>
      </w:r>
      <w:proofErr w:type="spellStart"/>
      <w:r w:rsidRPr="00EC44C2">
        <w:t>ВП</w:t>
      </w:r>
      <w:proofErr w:type="spellEnd"/>
      <w:r w:rsidRPr="00EC44C2">
        <w:t>-1992/02);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xml:space="preserve">№ </w:t>
      </w:r>
      <w:proofErr w:type="spellStart"/>
      <w:r w:rsidRPr="00EC44C2">
        <w:t>ВБ</w:t>
      </w:r>
      <w:proofErr w:type="spellEnd"/>
      <w:r w:rsidRPr="00EC44C2">
        <w:t>-1011/08);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xml:space="preserve">№ </w:t>
      </w:r>
      <w:proofErr w:type="spellStart"/>
      <w:r w:rsidRPr="002F4581">
        <w:t>ВБ</w:t>
      </w:r>
      <w:proofErr w:type="spellEnd"/>
      <w:r w:rsidRPr="002F4581">
        <w:t>-1159/08</w:t>
      </w:r>
      <w:r w:rsidRPr="00EC44C2">
        <w:t>,</w:t>
      </w:r>
      <w:r w:rsidR="002F4581">
        <w:br/>
      </w:r>
      <w:r w:rsidRPr="00EC44C2">
        <w:t xml:space="preserve">от 7 сентября 2020 г. </w:t>
      </w:r>
      <w:r w:rsidRPr="002F4581">
        <w:t xml:space="preserve">№ </w:t>
      </w:r>
      <w:proofErr w:type="spellStart"/>
      <w:r w:rsidRPr="002F4581">
        <w:t>ВБ</w:t>
      </w:r>
      <w:proofErr w:type="spellEnd"/>
      <w:r w:rsidRPr="002F4581">
        <w:t>-1700/08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w:t>
      </w:r>
      <w:proofErr w:type="spellStart"/>
      <w:r w:rsidRPr="00EC44C2">
        <w:t>Минобрнауки</w:t>
      </w:r>
      <w:proofErr w:type="spellEnd"/>
      <w:r w:rsidRPr="00EC44C2">
        <w:t xml:space="preserve">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w:t>
      </w:r>
      <w:proofErr w:type="spellStart"/>
      <w:r w:rsidRPr="00EC44C2">
        <w:t>Минобрнауки</w:t>
      </w:r>
      <w:proofErr w:type="spellEnd"/>
      <w:r w:rsidRPr="00EC44C2">
        <w:t xml:space="preserve">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lastRenderedPageBreak/>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w:t>
      </w:r>
      <w:proofErr w:type="spellStart"/>
      <w:r w:rsidRPr="00EC44C2">
        <w:t>ПКГ</w:t>
      </w:r>
      <w:proofErr w:type="spellEnd"/>
      <w:r w:rsidRPr="00EC44C2">
        <w:t xml:space="preserve">)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w:t>
      </w:r>
      <w:proofErr w:type="spellStart"/>
      <w:r w:rsidRPr="00EC44C2">
        <w:t>ПКГ</w:t>
      </w:r>
      <w:proofErr w:type="spellEnd"/>
      <w:r w:rsidRPr="00EC44C2">
        <w:t xml:space="preserve">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w:t>
      </w:r>
      <w:proofErr w:type="spellStart"/>
      <w:r w:rsidRPr="00EC44C2">
        <w:t>девиантным</w:t>
      </w:r>
      <w:proofErr w:type="spellEnd"/>
      <w:r w:rsidRPr="00EC44C2">
        <w:t xml:space="preserve">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 xml:space="preserve">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 xml:space="preserve">разделом </w:t>
      </w:r>
      <w:proofErr w:type="spellStart"/>
      <w:r w:rsidRPr="002F4581">
        <w:t>II</w:t>
      </w:r>
      <w:proofErr w:type="spellEnd"/>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EC44C2">
        <w:t>бакалавриата</w:t>
      </w:r>
      <w:proofErr w:type="spellEnd"/>
      <w:r w:rsidRPr="00EC44C2">
        <w:t xml:space="preserve">, </w:t>
      </w:r>
      <w:proofErr w:type="spellStart"/>
      <w:r w:rsidRPr="00EC44C2">
        <w:t>специалитета</w:t>
      </w:r>
      <w:proofErr w:type="spellEnd"/>
      <w:r w:rsidRPr="00EC44C2">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 xml:space="preserve">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xml:space="preserve">, программам магистратуры, утвержденного с приказом от 6 апреля 2021 г. № 245 </w:t>
      </w:r>
      <w:proofErr w:type="spellStart"/>
      <w:r w:rsidRPr="00EC44C2">
        <w:t>Минобрнауки</w:t>
      </w:r>
      <w:proofErr w:type="spellEnd"/>
      <w:r w:rsidRPr="00EC44C2">
        <w:t xml:space="preserve"> России </w:t>
      </w:r>
      <w:r w:rsidR="002F4581">
        <w:br/>
        <w:t>"</w:t>
      </w:r>
      <w:r w:rsidRPr="00EC44C2">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C44C2">
        <w:t>бакалавриата</w:t>
      </w:r>
      <w:proofErr w:type="spellEnd"/>
      <w:r w:rsidRPr="00EC44C2">
        <w:t xml:space="preserve">, программам </w:t>
      </w:r>
      <w:proofErr w:type="spellStart"/>
      <w:r w:rsidRPr="00EC44C2">
        <w:t>специалитета</w:t>
      </w:r>
      <w:proofErr w:type="spellEnd"/>
      <w:r w:rsidRPr="00EC44C2">
        <w:t>,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 xml:space="preserve">положения раздела </w:t>
      </w:r>
      <w:proofErr w:type="spellStart"/>
      <w:r w:rsidRPr="00EC44C2">
        <w:t>VII</w:t>
      </w:r>
      <w:proofErr w:type="spellEnd"/>
      <w:r w:rsidRPr="00EC44C2">
        <w:t xml:space="preserve">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 xml:space="preserve">пункту 4.1 раздела </w:t>
      </w:r>
      <w:proofErr w:type="spellStart"/>
      <w:r w:rsidRPr="002F4581">
        <w:t>IV</w:t>
      </w:r>
      <w:proofErr w:type="spellEnd"/>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 xml:space="preserve">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 xml:space="preserve">разделом </w:t>
      </w:r>
      <w:proofErr w:type="spellStart"/>
      <w:r w:rsidRPr="002F4581">
        <w:t>IV</w:t>
      </w:r>
      <w:proofErr w:type="spellEnd"/>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w:t>
      </w:r>
      <w:proofErr w:type="spellStart"/>
      <w:r w:rsidRPr="00EC44C2">
        <w:t>XII</w:t>
      </w:r>
      <w:proofErr w:type="spellEnd"/>
      <w:r w:rsidRPr="00EC44C2">
        <w:t xml:space="preserve">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 xml:space="preserve">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w:t>
      </w:r>
      <w:proofErr w:type="spellStart"/>
      <w:r w:rsidRPr="00EC44C2">
        <w:t>33н</w:t>
      </w:r>
      <w:proofErr w:type="spellEnd"/>
      <w:r w:rsidRPr="00EC44C2">
        <w:t>.</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 xml:space="preserve">и фармацевтических работников, утвержденной приказом Министерства здравоохранения Российской Федерации от 20 декабря 2012 г. № </w:t>
      </w:r>
      <w:proofErr w:type="spellStart"/>
      <w:r w:rsidRPr="00EC44C2">
        <w:t>1183н</w:t>
      </w:r>
      <w:proofErr w:type="spellEnd"/>
      <w:r w:rsidRPr="00EC44C2">
        <w:t>;</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w:t>
      </w:r>
      <w:proofErr w:type="spellStart"/>
      <w:r w:rsidRPr="00EC44C2">
        <w:t>682н</w:t>
      </w:r>
      <w:proofErr w:type="spellEnd"/>
      <w:r w:rsidRPr="00EC44C2">
        <w:t xml:space="preserve">,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w:t>
      </w:r>
      <w:proofErr w:type="spellStart"/>
      <w:r w:rsidRPr="00EC44C2">
        <w:t>266н</w:t>
      </w:r>
      <w:proofErr w:type="spellEnd"/>
      <w:r w:rsidRPr="00EC44C2">
        <w:t xml:space="preserve">.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 xml:space="preserve">в соответствии с приказом Министерства здравоохранения Российской Федерации от 2 апреля 2020 г. № </w:t>
      </w:r>
      <w:proofErr w:type="spellStart"/>
      <w:r w:rsidRPr="00EC44C2">
        <w:t>266н</w:t>
      </w:r>
      <w:proofErr w:type="spellEnd"/>
      <w:r w:rsidRPr="00EC44C2">
        <w:t>.</w:t>
      </w:r>
    </w:p>
    <w:p w:rsidR="004039DB" w:rsidRPr="00EC44C2" w:rsidRDefault="004039DB" w:rsidP="00A728F6">
      <w:pPr>
        <w:spacing w:line="240" w:lineRule="atLeast"/>
        <w:jc w:val="center"/>
      </w:pPr>
    </w:p>
    <w:p w:rsidR="004039DB" w:rsidRPr="00EC44C2" w:rsidRDefault="004039DB" w:rsidP="00A728F6">
      <w:pPr>
        <w:spacing w:line="240" w:lineRule="atLeast"/>
        <w:jc w:val="center"/>
      </w:pPr>
      <w:proofErr w:type="spellStart"/>
      <w:r w:rsidRPr="00EC44C2">
        <w:t>XI</w:t>
      </w:r>
      <w:proofErr w:type="spellEnd"/>
      <w:r w:rsidRPr="00EC44C2">
        <w:t>.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w:t>
      </w:r>
      <w:proofErr w:type="spellStart"/>
      <w:r w:rsidRPr="00EC44C2">
        <w:t>shtat.mkrf.ru</w:t>
      </w:r>
      <w:proofErr w:type="spellEnd"/>
      <w:r w:rsidRPr="00EC44C2">
        <w:t>.</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proofErr w:type="spellStart"/>
      <w:r w:rsidRPr="00EC44C2">
        <w:t>XII</w:t>
      </w:r>
      <w:proofErr w:type="spellEnd"/>
      <w:r w:rsidRPr="00EC44C2">
        <w:t>.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 xml:space="preserve">форме № </w:t>
      </w:r>
      <w:proofErr w:type="spellStart"/>
      <w:r w:rsidRPr="00A728F6">
        <w:t>ЗП</w:t>
      </w:r>
      <w:proofErr w:type="spellEnd"/>
      <w:r w:rsidRPr="00A728F6">
        <w:t>-физическая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r w:rsidRPr="00EC44C2">
        <w:lastRenderedPageBreak/>
        <w:t>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proofErr w:type="spellStart"/>
      <w:r w:rsidRPr="00EC44C2">
        <w:t>паралимпийский</w:t>
      </w:r>
      <w:proofErr w:type="spellEnd"/>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w:t>
      </w:r>
      <w:proofErr w:type="spellStart"/>
      <w:r w:rsidRPr="00EC44C2">
        <w:t>НП</w:t>
      </w:r>
      <w:proofErr w:type="spellEnd"/>
      <w:r w:rsidRPr="00EC44C2">
        <w:t>)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w:t>
      </w:r>
      <w:proofErr w:type="spellStart"/>
      <w:r w:rsidRPr="00EC44C2">
        <w:t>грантовых</w:t>
      </w:r>
      <w:proofErr w:type="spellEnd"/>
      <w:r w:rsidRPr="00EC44C2">
        <w:t xml:space="preserve"> программ, реализуемых федеральными органами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w:t>
      </w:r>
      <w:proofErr w:type="spellStart"/>
      <w:r w:rsidRPr="00EC44C2">
        <w:t>Паралимпийских</w:t>
      </w:r>
      <w:proofErr w:type="spellEnd"/>
      <w:r w:rsidRPr="00EC44C2">
        <w:t xml:space="preserve">, </w:t>
      </w:r>
      <w:proofErr w:type="spellStart"/>
      <w:r w:rsidRPr="00EC44C2">
        <w:t>Сурдлимпийских</w:t>
      </w:r>
      <w:proofErr w:type="spellEnd"/>
      <w:r w:rsidRPr="00EC44C2">
        <w:t xml:space="preserve">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proofErr w:type="spellStart"/>
      <w:r w:rsidRPr="00EC44C2">
        <w:lastRenderedPageBreak/>
        <w:t>XIII</w:t>
      </w:r>
      <w:proofErr w:type="spellEnd"/>
      <w:r w:rsidRPr="00EC44C2">
        <w:t>.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w:t>
      </w:r>
      <w:proofErr w:type="spellStart"/>
      <w:r w:rsidRPr="00EC44C2">
        <w:t>339н</w:t>
      </w:r>
      <w:proofErr w:type="spellEnd"/>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bookmarkStart w:id="6" w:name="_GoBack"/>
      <w:bookmarkEnd w:id="6"/>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68" w:rsidRDefault="00642668">
      <w:r>
        <w:separator/>
      </w:r>
    </w:p>
  </w:endnote>
  <w:endnote w:type="continuationSeparator" w:id="0">
    <w:p w:rsidR="00642668" w:rsidRDefault="0064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68" w:rsidRDefault="00642668">
      <w:r>
        <w:separator/>
      </w:r>
    </w:p>
  </w:footnote>
  <w:footnote w:type="continuationSeparator" w:id="0">
    <w:p w:rsidR="00642668" w:rsidRDefault="0064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547D5D">
      <w:rPr>
        <w:rStyle w:val="a7"/>
        <w:noProof/>
      </w:rPr>
      <w:t>51</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B"/>
    <w:rsid w:val="00001431"/>
    <w:rsid w:val="000D1934"/>
    <w:rsid w:val="000F26C7"/>
    <w:rsid w:val="00136D4F"/>
    <w:rsid w:val="00141389"/>
    <w:rsid w:val="00155CF8"/>
    <w:rsid w:val="0018754B"/>
    <w:rsid w:val="001970C4"/>
    <w:rsid w:val="001D4C32"/>
    <w:rsid w:val="001F3637"/>
    <w:rsid w:val="00222BF3"/>
    <w:rsid w:val="00265956"/>
    <w:rsid w:val="002944D7"/>
    <w:rsid w:val="002B51EF"/>
    <w:rsid w:val="002C65A8"/>
    <w:rsid w:val="002E091E"/>
    <w:rsid w:val="002F4581"/>
    <w:rsid w:val="00300F01"/>
    <w:rsid w:val="00313FC7"/>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75116"/>
    <w:rsid w:val="007A034D"/>
    <w:rsid w:val="008219FE"/>
    <w:rsid w:val="00850D58"/>
    <w:rsid w:val="0087593A"/>
    <w:rsid w:val="008B4217"/>
    <w:rsid w:val="008E6C06"/>
    <w:rsid w:val="008E7D34"/>
    <w:rsid w:val="00926E3E"/>
    <w:rsid w:val="009B1477"/>
    <w:rsid w:val="00A728F6"/>
    <w:rsid w:val="00AE4C57"/>
    <w:rsid w:val="00B0422C"/>
    <w:rsid w:val="00B12518"/>
    <w:rsid w:val="00CD7729"/>
    <w:rsid w:val="00CF324E"/>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13766</Words>
  <Characters>104175</Characters>
  <Application>Microsoft Office Word</Application>
  <DocSecurity>0</DocSecurity>
  <Lines>868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Лалова Н.В.</cp:lastModifiedBy>
  <cp:revision>2</cp:revision>
  <dcterms:created xsi:type="dcterms:W3CDTF">2023-01-09T09:02:00Z</dcterms:created>
  <dcterms:modified xsi:type="dcterms:W3CDTF">2023-01-09T09:02:00Z</dcterms:modified>
</cp:coreProperties>
</file>