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B" w:rsidRDefault="0057409B" w:rsidP="00F52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09B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DEBEA6" wp14:editId="29449F67">
            <wp:simplePos x="0" y="0"/>
            <wp:positionH relativeFrom="column">
              <wp:posOffset>2440940</wp:posOffset>
            </wp:positionH>
            <wp:positionV relativeFrom="paragraph">
              <wp:posOffset>-487680</wp:posOffset>
            </wp:positionV>
            <wp:extent cx="717550" cy="922655"/>
            <wp:effectExtent l="19050" t="0" r="635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09B" w:rsidRDefault="008D644C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«Ключевское»</w:t>
      </w:r>
    </w:p>
    <w:p w:rsidR="009F479F" w:rsidRPr="0057409B" w:rsidRDefault="009F479F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«Борзинский район» Забайкальского края</w:t>
      </w: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09B" w:rsidRPr="0057409B" w:rsidRDefault="0057409B" w:rsidP="005740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0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409B" w:rsidRPr="0057409B" w:rsidRDefault="00734951" w:rsidP="005740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«30</w:t>
      </w:r>
      <w:r w:rsidR="0057409B" w:rsidRPr="0057409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7409B" w:rsidRPr="0057409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409B" w:rsidRPr="0057409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09B" w:rsidRPr="005740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57409B" w:rsidRPr="008D644C" w:rsidRDefault="00734951" w:rsidP="005740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44C">
        <w:rPr>
          <w:rFonts w:ascii="Times New Roman" w:eastAsia="Calibri" w:hAnsi="Times New Roman" w:cs="Times New Roman"/>
          <w:sz w:val="28"/>
          <w:szCs w:val="28"/>
        </w:rPr>
        <w:t>с. Ключевское</w:t>
      </w:r>
    </w:p>
    <w:p w:rsidR="0057409B" w:rsidRPr="0057409B" w:rsidRDefault="0057409B" w:rsidP="005740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09B" w:rsidRPr="0057409B" w:rsidRDefault="0057409B" w:rsidP="008D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09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постановке на учет воинских захоронений, выявленных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  <w:r w:rsidRPr="0057409B">
        <w:rPr>
          <w:rFonts w:ascii="Times New Roman" w:hAnsi="Times New Roman" w:cs="Times New Roman"/>
          <w:b/>
          <w:sz w:val="28"/>
          <w:szCs w:val="28"/>
        </w:rPr>
        <w:t xml:space="preserve"> и увековечении памяти погибших при защите Отечества</w:t>
      </w:r>
    </w:p>
    <w:p w:rsidR="0057409B" w:rsidRPr="0057409B" w:rsidRDefault="0057409B" w:rsidP="00B419AE">
      <w:pPr>
        <w:tabs>
          <w:tab w:val="left" w:pos="432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</w:rPr>
      </w:pPr>
    </w:p>
    <w:p w:rsidR="0057409B" w:rsidRPr="0057409B" w:rsidRDefault="0057409B" w:rsidP="005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14.01.1996 № 8-ФЗ «О погребении и похоронном деле», Законом Российской Федерации от 14.01.1993 № 4292-1 «Об увековечении памяти погибших при защите Отечества», </w:t>
      </w:r>
      <w:r w:rsidR="003063E4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B419AE">
        <w:rPr>
          <w:rFonts w:ascii="Times New Roman" w:eastAsia="Times New Roman" w:hAnsi="Times New Roman" w:cs="Times New Roman"/>
          <w:sz w:val="28"/>
          <w:szCs w:val="28"/>
        </w:rPr>
        <w:t xml:space="preserve"> Министра Обороны Российской Федерации от 14.10.2021 г. № 605 «Об установлении порядка паспортизации и централизованного учета воинских захоронений»,  </w:t>
      </w:r>
      <w:r w:rsidRPr="005740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5A17">
        <w:rPr>
          <w:rFonts w:ascii="Times New Roman" w:eastAsia="Times New Roman" w:hAnsi="Times New Roman" w:cs="Times New Roman"/>
          <w:sz w:val="28"/>
          <w:szCs w:val="28"/>
        </w:rPr>
        <w:t>уководствуясь Уставом сельского поселения «Ключевское», администрация сельского поселения «Ключевское</w:t>
      </w:r>
      <w:r w:rsidRPr="0057409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7409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19AE" w:rsidRPr="00B419AE" w:rsidRDefault="00B419AE" w:rsidP="00B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9B" w:rsidRDefault="0057409B" w:rsidP="00574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7409B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839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409B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прилагаемое Положение о постановке на учет воинских захоронений, выявленных на территории </w:t>
      </w:r>
      <w:r w:rsidR="00734951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 «Ключевское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7409B">
        <w:rPr>
          <w:rFonts w:ascii="Times New Roman" w:hAnsi="Times New Roman" w:cs="Times New Roman"/>
          <w:bCs/>
          <w:iCs/>
          <w:sz w:val="28"/>
          <w:szCs w:val="28"/>
        </w:rPr>
        <w:t xml:space="preserve"> и увековечении памяти погибших при защите Отечества.</w:t>
      </w:r>
    </w:p>
    <w:p w:rsidR="0057409B" w:rsidRPr="0057409B" w:rsidRDefault="0057409B" w:rsidP="00574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09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</w:t>
      </w:r>
      <w:r w:rsidR="00090E00">
        <w:rPr>
          <w:rFonts w:ascii="Times New Roman" w:hAnsi="Times New Roman" w:cs="Times New Roman"/>
          <w:sz w:val="28"/>
          <w:szCs w:val="28"/>
        </w:rPr>
        <w:t xml:space="preserve"> </w:t>
      </w:r>
      <w:r w:rsidRPr="0057409B">
        <w:rPr>
          <w:rFonts w:ascii="Times New Roman" w:hAnsi="Times New Roman" w:cs="Times New Roman"/>
          <w:sz w:val="28"/>
          <w:szCs w:val="28"/>
        </w:rPr>
        <w:t xml:space="preserve"> его </w:t>
      </w:r>
      <w:bookmarkStart w:id="0" w:name="_GoBack"/>
      <w:bookmarkEnd w:id="0"/>
      <w:r w:rsidRPr="0057409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090E00">
        <w:rPr>
          <w:rFonts w:ascii="Times New Roman" w:hAnsi="Times New Roman" w:cs="Times New Roman"/>
          <w:sz w:val="28"/>
          <w:szCs w:val="28"/>
        </w:rPr>
        <w:t>(</w:t>
      </w:r>
      <w:r w:rsidRPr="0057409B">
        <w:rPr>
          <w:rFonts w:ascii="Times New Roman" w:hAnsi="Times New Roman" w:cs="Times New Roman"/>
          <w:sz w:val="28"/>
          <w:szCs w:val="28"/>
        </w:rPr>
        <w:t>обнародования</w:t>
      </w:r>
      <w:r w:rsidR="00090E00">
        <w:rPr>
          <w:rFonts w:ascii="Times New Roman" w:hAnsi="Times New Roman" w:cs="Times New Roman"/>
          <w:sz w:val="28"/>
          <w:szCs w:val="28"/>
        </w:rPr>
        <w:t>)</w:t>
      </w:r>
      <w:r w:rsidRPr="0057409B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стенде по адресу: </w:t>
      </w:r>
      <w:r w:rsidR="00734951">
        <w:rPr>
          <w:rFonts w:ascii="Times New Roman" w:hAnsi="Times New Roman" w:cs="Times New Roman"/>
          <w:sz w:val="28"/>
          <w:szCs w:val="28"/>
        </w:rPr>
        <w:t>с. Ключевское, ул. Советская, 10</w:t>
      </w:r>
      <w:r w:rsidR="003063E4">
        <w:rPr>
          <w:rFonts w:ascii="Times New Roman" w:hAnsi="Times New Roman" w:cs="Times New Roman"/>
          <w:sz w:val="28"/>
          <w:szCs w:val="28"/>
        </w:rPr>
        <w:t>.</w:t>
      </w:r>
    </w:p>
    <w:p w:rsidR="0057409B" w:rsidRPr="0057409B" w:rsidRDefault="0057409B" w:rsidP="00574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09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</w:t>
      </w:r>
      <w:r w:rsidR="00734951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«Ключевское</w:t>
      </w:r>
      <w:r w:rsidRPr="0057409B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(www.борзя-адм.рф). </w:t>
      </w:r>
    </w:p>
    <w:p w:rsidR="0057409B" w:rsidRDefault="0057409B" w:rsidP="00574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921" w:rsidRPr="0057409B" w:rsidRDefault="00E83921" w:rsidP="00E83921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09B" w:rsidRPr="0057409B" w:rsidRDefault="00734951" w:rsidP="0057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«Ключевское»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М.И. Гунько</w:t>
      </w:r>
      <w:r w:rsidR="0057409B" w:rsidRPr="005740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409B" w:rsidRPr="0057409B" w:rsidRDefault="0057409B" w:rsidP="0057409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7"/>
      </w:tblGrid>
      <w:tr w:rsidR="0057409B" w:rsidRPr="00E37256" w:rsidTr="00345310">
        <w:trPr>
          <w:trHeight w:val="952"/>
        </w:trPr>
        <w:tc>
          <w:tcPr>
            <w:tcW w:w="4217" w:type="dxa"/>
          </w:tcPr>
          <w:p w:rsidR="0057409B" w:rsidRPr="00E37256" w:rsidRDefault="0057409B" w:rsidP="00932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7409B" w:rsidRPr="00E37256" w:rsidRDefault="0057409B" w:rsidP="00932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5278A" w:rsidRPr="00E83921" w:rsidRDefault="003063E4" w:rsidP="003063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F5278A" w:rsidRPr="00E839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F5278A" w:rsidRPr="00E83921" w:rsidRDefault="00ED5A17" w:rsidP="00A51EB2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постановлению а</w:t>
      </w:r>
      <w:r w:rsidR="00A51EB2" w:rsidRPr="00E839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«К</w:t>
      </w:r>
      <w:r w:rsidR="00734951">
        <w:rPr>
          <w:rFonts w:ascii="Times New Roman" w:eastAsia="Times New Roman" w:hAnsi="Times New Roman" w:cs="Times New Roman"/>
          <w:kern w:val="2"/>
          <w:sz w:val="28"/>
          <w:szCs w:val="28"/>
        </w:rPr>
        <w:t>лючевское</w:t>
      </w:r>
      <w:r w:rsidR="0057409B" w:rsidRPr="00E839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F5278A" w:rsidRPr="00E83921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от </w:t>
      </w:r>
      <w:r w:rsidR="00734951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996E04">
        <w:rPr>
          <w:rFonts w:ascii="Times New Roman" w:eastAsia="Times New Roman" w:hAnsi="Times New Roman" w:cs="Times New Roman"/>
          <w:kern w:val="2"/>
          <w:sz w:val="28"/>
          <w:szCs w:val="28"/>
        </w:rPr>
        <w:t>19» ноября 2023 г.  № 19</w:t>
      </w:r>
    </w:p>
    <w:p w:rsidR="00F5278A" w:rsidRPr="00E83921" w:rsidRDefault="00F5278A" w:rsidP="00A51EB2">
      <w:pPr>
        <w:autoSpaceDE w:val="0"/>
        <w:autoSpaceDN w:val="0"/>
        <w:spacing w:after="0" w:line="240" w:lineRule="auto"/>
        <w:ind w:left="4962"/>
        <w:jc w:val="both"/>
        <w:rPr>
          <w:rFonts w:ascii="Arial" w:eastAsia="Times New Roman" w:hAnsi="Arial" w:cs="Arial"/>
          <w:kern w:val="2"/>
          <w:sz w:val="28"/>
          <w:szCs w:val="28"/>
        </w:rPr>
      </w:pPr>
    </w:p>
    <w:p w:rsidR="00F5278A" w:rsidRPr="00355A63" w:rsidRDefault="00F5278A" w:rsidP="00F5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</w:rPr>
      </w:pPr>
    </w:p>
    <w:p w:rsidR="00F5278A" w:rsidRPr="0057409B" w:rsidRDefault="00F5278A" w:rsidP="00E8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F5278A" w:rsidRPr="0057409B" w:rsidRDefault="00F5278A" w:rsidP="00E8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09B">
        <w:rPr>
          <w:rFonts w:ascii="Times New Roman" w:hAnsi="Times New Roman" w:cs="Times New Roman"/>
          <w:iCs/>
          <w:sz w:val="28"/>
          <w:szCs w:val="28"/>
        </w:rPr>
        <w:t xml:space="preserve">о постановке на учет воинских захоронений, </w:t>
      </w:r>
      <w:r w:rsidR="009C4B35" w:rsidRPr="0057409B">
        <w:rPr>
          <w:rFonts w:ascii="Times New Roman" w:hAnsi="Times New Roman" w:cs="Times New Roman"/>
          <w:iCs/>
          <w:sz w:val="28"/>
          <w:szCs w:val="28"/>
        </w:rPr>
        <w:br/>
      </w:r>
      <w:r w:rsidRPr="0057409B">
        <w:rPr>
          <w:rFonts w:ascii="Times New Roman" w:hAnsi="Times New Roman" w:cs="Times New Roman"/>
          <w:iCs/>
          <w:sz w:val="28"/>
          <w:szCs w:val="28"/>
        </w:rPr>
        <w:t>выявленных н</w:t>
      </w:r>
      <w:r w:rsidRPr="0057409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96E0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</w:t>
      </w:r>
      <w:r w:rsidR="005740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35"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7409B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увековечении </w:t>
      </w:r>
      <w:r w:rsidRPr="0057409B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</w:t>
      </w:r>
      <w:r w:rsidRPr="0057409B">
        <w:rPr>
          <w:rFonts w:ascii="Times New Roman" w:hAnsi="Times New Roman" w:cs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 w:rsidRPr="0057409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96E04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 «Ключевское</w:t>
      </w:r>
      <w:r w:rsidR="0057409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57409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7409B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увековечении </w:t>
      </w:r>
      <w:r w:rsidRPr="0057409B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Pr="005740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 регламентирует отношения, складывающиеся на территории </w:t>
      </w:r>
      <w:r w:rsidR="00996E04">
        <w:rPr>
          <w:rFonts w:ascii="Times New Roman" w:hAnsi="Times New Roman" w:cs="Times New Roman"/>
          <w:bCs/>
          <w:kern w:val="28"/>
          <w:sz w:val="28"/>
          <w:szCs w:val="28"/>
        </w:rPr>
        <w:t>сельского</w:t>
      </w:r>
      <w:r w:rsidRPr="0057409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</w:t>
      </w:r>
      <w:r w:rsidRPr="005740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6E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«Ключевское</w:t>
      </w:r>
      <w:r w:rsidR="005740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57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57409B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Pr="0057409B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Pr="0057409B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Pr="0057409B">
        <w:rPr>
          <w:rFonts w:ascii="Times New Roman" w:hAnsi="Times New Roman" w:cs="Times New Roman"/>
          <w:iCs/>
          <w:sz w:val="28"/>
          <w:szCs w:val="28"/>
        </w:rPr>
        <w:t>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Fonts w:ascii="Times New Roman" w:hAnsi="Times New Roman" w:cs="Times New Roman"/>
          <w:spacing w:val="0"/>
          <w:sz w:val="28"/>
          <w:szCs w:val="28"/>
        </w:rPr>
        <w:t>1.2. Воинскими захоронениями считаются захоронения бойцов и командиров Красной армии, погибших в период Великой Отечественной войны 1941-1945 годов, а также все захоронения погибших при защите Отечества и могилы военнослужащих Советской и Российской арми</w:t>
      </w:r>
      <w:r w:rsidR="00A51EB2" w:rsidRPr="0057409B">
        <w:rPr>
          <w:rFonts w:ascii="Times New Roman" w:hAnsi="Times New Roman" w:cs="Times New Roman"/>
          <w:spacing w:val="0"/>
          <w:sz w:val="28"/>
          <w:szCs w:val="28"/>
        </w:rPr>
        <w:t>й</w:t>
      </w:r>
      <w:r w:rsidR="0041372B" w:rsidRPr="0057409B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57409B">
        <w:rPr>
          <w:rFonts w:ascii="Times New Roman" w:hAnsi="Times New Roman" w:cs="Times New Roman"/>
          <w:spacing w:val="0"/>
          <w:sz w:val="28"/>
          <w:szCs w:val="28"/>
        </w:rPr>
        <w:t xml:space="preserve"> погибших при исполнении служебного </w:t>
      </w:r>
      <w:r w:rsidR="003063E4" w:rsidRPr="0057409B">
        <w:rPr>
          <w:rFonts w:ascii="Times New Roman" w:hAnsi="Times New Roman" w:cs="Times New Roman"/>
          <w:spacing w:val="0"/>
          <w:sz w:val="28"/>
          <w:szCs w:val="28"/>
        </w:rPr>
        <w:t>долга,</w:t>
      </w:r>
      <w:r w:rsidR="00A12AAA" w:rsidRPr="0057409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7409B">
        <w:rPr>
          <w:rFonts w:ascii="Times New Roman" w:hAnsi="Times New Roman" w:cs="Times New Roman"/>
          <w:spacing w:val="0"/>
          <w:sz w:val="28"/>
          <w:szCs w:val="28"/>
        </w:rPr>
        <w:t>как за пределами Отечества, так и в специальных антитеррористических операциях на территории Российской Федерации.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9B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57409B">
        <w:rPr>
          <w:rFonts w:ascii="Times New Roman" w:hAnsi="Times New Roman" w:cs="Times New Roman"/>
          <w:bCs/>
          <w:spacing w:val="0"/>
          <w:sz w:val="28"/>
          <w:szCs w:val="28"/>
        </w:rPr>
        <w:t>2. Ведение учета воинских захоронений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2.1. </w:t>
      </w:r>
      <w:r w:rsidR="00A12AAA"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У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чет воинских захо</w:t>
      </w:r>
      <w:r w:rsidR="00996E04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ронений на территории сельское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поселения </w:t>
      </w:r>
      <w:r w:rsidR="00996E04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«Ключевское</w:t>
      </w:r>
      <w:r w:rsid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»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осуществляется администрацией </w:t>
      </w:r>
      <w:r w:rsidR="00996E04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сельского поселения «Ключевское</w:t>
      </w:r>
      <w:r w:rsid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»</w:t>
      </w:r>
      <w:r w:rsidR="00B419AE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муниципального района «Борзинский район» Забайкальского края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(далее - администрация).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Основания для постановки на учет ранее неизвестных воинских захоронений: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сведения государственных и военных архивов;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документы обследования неучтенных воинских захоронений (акты, протоколы, журналы).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Процедура постановки на учет: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обозначение на местности воинского захоронения (вновь обнаруженные или не обозначенные ранее);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- составление учетной карточки (паспорта) воинского захоронения, если 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lastRenderedPageBreak/>
        <w:t>таковой не имеется;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- издание постановления </w:t>
      </w:r>
      <w:r w:rsidR="00A51EB2"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администрации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о принятии на балансовый учет воинского захоронения в целях обеспечения его содержания;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организация свободного доступа граждан к воинскому захоронению;</w:t>
      </w:r>
    </w:p>
    <w:p w:rsidR="00F5278A" w:rsidRDefault="00F5278A" w:rsidP="00F5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9B">
        <w:rPr>
          <w:rFonts w:ascii="Times New Roman" w:hAnsi="Times New Roman" w:cs="Times New Roman"/>
          <w:sz w:val="28"/>
          <w:szCs w:val="28"/>
        </w:rPr>
        <w:t>- установка мемориального знака.</w:t>
      </w:r>
    </w:p>
    <w:p w:rsidR="00B419AE" w:rsidRPr="003063E4" w:rsidRDefault="00B419AE" w:rsidP="00F52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воинского захоронения составляется паспорт</w:t>
      </w:r>
      <w:r w:rsidR="003063E4"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(учетная карточка)</w:t>
      </w:r>
      <w:r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3E4"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постановка на централизованный учет </w:t>
      </w:r>
      <w:r w:rsidR="003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063E4"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обороны Российской Федерации по увековечению памяти погибших при защите Отечества,</w:t>
      </w:r>
      <w:r w:rsidR="003063E4" w:rsidRPr="003063E4">
        <w:rPr>
          <w:color w:val="000000" w:themeColor="text1"/>
        </w:rPr>
        <w:t xml:space="preserve"> </w:t>
      </w:r>
      <w:r w:rsidR="003063E4"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>которое ведет реестр воинских захоронений на территориях Российской Федерации, изготавливается и устанавливается мемориальный знак.</w:t>
      </w:r>
      <w:r w:rsidRPr="003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настоящим Положением, а в случае необходимости организовывает перезахоронение останков погибших.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2.3. 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Pr="0057409B">
        <w:rPr>
          <w:rFonts w:ascii="Times New Roman" w:hAnsi="Times New Roman" w:cs="Times New Roman"/>
          <w:bCs/>
          <w:spacing w:val="0"/>
          <w:sz w:val="28"/>
          <w:szCs w:val="28"/>
        </w:rPr>
        <w:t>в следующих случаях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: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обнаружены останки небольшого количества погибших;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в случае если захоронение уже подвергалось частичному переносу или разграблению. 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Отказ от переноса останков из неучтенных воинских захоронений производится </w:t>
      </w:r>
      <w:r w:rsidRPr="0057409B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: 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обнаружены останки большого количества погибших; 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в доступности от места обнаружения нет воинских захоронений, куда можно перезахоронить все обнаруженные останки;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</w:t>
      </w:r>
      <w:r w:rsidR="009C4B35"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в других случаях, в том числе исходя из состояния останков.</w:t>
      </w:r>
    </w:p>
    <w:p w:rsidR="00F5278A" w:rsidRPr="0057409B" w:rsidRDefault="00F5278A" w:rsidP="00F5278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Содержание места погребения, являющееся воинским захоронением, осуществляется специализированной службой по вопросу похоронного дела на территории муниципального образования (далее – специализированная служба) в соответствии с установленными правовыми актами муниципального образования.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lastRenderedPageBreak/>
        <w:t>2.5. Д</w:t>
      </w: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/>
        <w:jc w:val="center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3. Увековечение </w:t>
      </w:r>
      <w:r w:rsidRPr="0057409B">
        <w:rPr>
          <w:rFonts w:ascii="Times New Roman" w:hAnsi="Times New Roman" w:cs="Times New Roman"/>
          <w:spacing w:val="0"/>
          <w:sz w:val="28"/>
          <w:szCs w:val="28"/>
        </w:rPr>
        <w:t>памяти погибших при защите Отечества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/>
        <w:jc w:val="center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на мемориальных плитах воинских захоронений.</w:t>
      </w: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</w:p>
    <w:p w:rsidR="00F5278A" w:rsidRPr="0057409B" w:rsidRDefault="00F5278A" w:rsidP="00F5278A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3.1. Увековечение </w:t>
      </w:r>
      <w:r w:rsidRPr="0057409B">
        <w:rPr>
          <w:rFonts w:ascii="Times New Roman" w:hAnsi="Times New Roman" w:cs="Times New Roman"/>
          <w:spacing w:val="0"/>
          <w:sz w:val="28"/>
          <w:szCs w:val="28"/>
        </w:rPr>
        <w:t>памяти погибших при защите Отечества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на мемориальных плитах воинских захоронений </w:t>
      </w:r>
      <w:r w:rsidR="00B419AE">
        <w:rPr>
          <w:rStyle w:val="1"/>
          <w:rFonts w:ascii="Times New Roman" w:hAnsi="Times New Roman" w:cs="Times New Roman"/>
          <w:spacing w:val="0"/>
          <w:sz w:val="28"/>
          <w:szCs w:val="28"/>
        </w:rPr>
        <w:t>осуществляется администрацией.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3.2. Основания для увековечения </w:t>
      </w:r>
      <w:r w:rsidRPr="0057409B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на мемориальных плитах воинских захоронений: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наличие в учетной карточке воинского захоронения данных о захороненных в нем воинах;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акт захоронения (перезахоронения) останков воинов, найденных в ходе поисковых работ или проведения мероприятий по укрупнению захоронений;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сведения государственных и военных архивов Российской Федерации и стран зарубежья;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- обращения юридических и физических лиц, подтвержденные документами (копиями документов) о гибели и захоронении воинов.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7409B">
        <w:rPr>
          <w:rStyle w:val="1"/>
          <w:rFonts w:ascii="Times New Roman" w:hAnsi="Times New Roman" w:cs="Times New Roman"/>
          <w:spacing w:val="0"/>
          <w:sz w:val="28"/>
          <w:szCs w:val="28"/>
        </w:rPr>
        <w:t>3.6. В случае нанесения имен погибших воинов на мемориальных плитах воинских захоронений, без подтверждения их захоронения на данном воинском захоронении, данные воины учитываются как увековеченные, но не захороненные в данном захоронении, что отражается в учетной карточке воинского захоронения.</w:t>
      </w: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</w:p>
    <w:p w:rsidR="00F5278A" w:rsidRPr="0057409B" w:rsidRDefault="00F5278A" w:rsidP="00F5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C4" w:rsidRPr="0057409B" w:rsidRDefault="00B419AE" w:rsidP="00B419AE">
      <w:pPr>
        <w:pStyle w:val="a6"/>
        <w:tabs>
          <w:tab w:val="left" w:pos="699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830C4" w:rsidRPr="0057409B" w:rsidSect="00F62438">
      <w:headerReference w:type="default" r:id="rId9"/>
      <w:footnotePr>
        <w:numRestart w:val="eachPage"/>
      </w:footnotePr>
      <w:pgSz w:w="11906" w:h="16838"/>
      <w:pgMar w:top="1077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44" w:rsidRDefault="00D12E44" w:rsidP="00C84030">
      <w:pPr>
        <w:spacing w:after="0" w:line="240" w:lineRule="auto"/>
      </w:pPr>
      <w:r>
        <w:separator/>
      </w:r>
    </w:p>
  </w:endnote>
  <w:endnote w:type="continuationSeparator" w:id="0">
    <w:p w:rsidR="00D12E44" w:rsidRDefault="00D12E44" w:rsidP="00C8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44" w:rsidRDefault="00D12E44" w:rsidP="00C84030">
      <w:pPr>
        <w:spacing w:after="0" w:line="240" w:lineRule="auto"/>
      </w:pPr>
      <w:r>
        <w:separator/>
      </w:r>
    </w:p>
  </w:footnote>
  <w:footnote w:type="continuationSeparator" w:id="0">
    <w:p w:rsidR="00D12E44" w:rsidRDefault="00D12E44" w:rsidP="00C8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98D" w:rsidRPr="00B14374" w:rsidRDefault="00603B64" w:rsidP="00D366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78A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E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0D9"/>
    <w:multiLevelType w:val="hybridMultilevel"/>
    <w:tmpl w:val="19CAB0FA"/>
    <w:lvl w:ilvl="0" w:tplc="7BB653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A"/>
    <w:rsid w:val="00090E00"/>
    <w:rsid w:val="000B7582"/>
    <w:rsid w:val="001C7039"/>
    <w:rsid w:val="00290505"/>
    <w:rsid w:val="003063E4"/>
    <w:rsid w:val="00345310"/>
    <w:rsid w:val="003A2CFE"/>
    <w:rsid w:val="0041372B"/>
    <w:rsid w:val="00425E30"/>
    <w:rsid w:val="004A3BF5"/>
    <w:rsid w:val="0057409B"/>
    <w:rsid w:val="005D4927"/>
    <w:rsid w:val="00603B64"/>
    <w:rsid w:val="00715A0C"/>
    <w:rsid w:val="00734951"/>
    <w:rsid w:val="007B0753"/>
    <w:rsid w:val="008512F5"/>
    <w:rsid w:val="00870047"/>
    <w:rsid w:val="008830C4"/>
    <w:rsid w:val="008D644C"/>
    <w:rsid w:val="00923610"/>
    <w:rsid w:val="00940866"/>
    <w:rsid w:val="009479A5"/>
    <w:rsid w:val="00996E04"/>
    <w:rsid w:val="009C4B35"/>
    <w:rsid w:val="009E1EAC"/>
    <w:rsid w:val="009F479F"/>
    <w:rsid w:val="00A12AAA"/>
    <w:rsid w:val="00A32D2A"/>
    <w:rsid w:val="00A51EB2"/>
    <w:rsid w:val="00A614E5"/>
    <w:rsid w:val="00A72396"/>
    <w:rsid w:val="00AB16C6"/>
    <w:rsid w:val="00AF50BC"/>
    <w:rsid w:val="00B419AE"/>
    <w:rsid w:val="00BF3B33"/>
    <w:rsid w:val="00C84030"/>
    <w:rsid w:val="00CD126B"/>
    <w:rsid w:val="00D12E44"/>
    <w:rsid w:val="00DD523A"/>
    <w:rsid w:val="00E55F81"/>
    <w:rsid w:val="00E83921"/>
    <w:rsid w:val="00ED5A17"/>
    <w:rsid w:val="00EE20DE"/>
    <w:rsid w:val="00F37C11"/>
    <w:rsid w:val="00F4052D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446B"/>
  <w15:docId w15:val="{6EC2F0C7-B6B9-43AD-81E4-EAC4C09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52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5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8A"/>
  </w:style>
  <w:style w:type="paragraph" w:styleId="a5">
    <w:name w:val="List Paragraph"/>
    <w:basedOn w:val="a"/>
    <w:uiPriority w:val="34"/>
    <w:qFormat/>
    <w:rsid w:val="00F5278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527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2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527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278A"/>
  </w:style>
  <w:style w:type="character" w:customStyle="1" w:styleId="a8">
    <w:name w:val="Основной текст_"/>
    <w:basedOn w:val="a0"/>
    <w:link w:val="3"/>
    <w:rsid w:val="00F5278A"/>
    <w:rPr>
      <w:spacing w:val="8"/>
      <w:shd w:val="clear" w:color="auto" w:fill="FFFFFF"/>
    </w:rPr>
  </w:style>
  <w:style w:type="character" w:customStyle="1" w:styleId="1">
    <w:name w:val="Основной текст1"/>
    <w:basedOn w:val="a8"/>
    <w:rsid w:val="00F5278A"/>
    <w:rPr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F5278A"/>
    <w:pPr>
      <w:widowControl w:val="0"/>
      <w:shd w:val="clear" w:color="auto" w:fill="FFFFFF"/>
      <w:spacing w:after="0" w:line="322" w:lineRule="exact"/>
    </w:pPr>
    <w:rPr>
      <w:spacing w:val="8"/>
    </w:rPr>
  </w:style>
  <w:style w:type="character" w:styleId="a9">
    <w:name w:val="annotation reference"/>
    <w:basedOn w:val="a0"/>
    <w:uiPriority w:val="99"/>
    <w:semiHidden/>
    <w:unhideWhenUsed/>
    <w:rsid w:val="009C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4B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4B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9D2C-CCE8-4045-B7D0-39CE7B8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deryabkina</dc:creator>
  <cp:lastModifiedBy>ПК</cp:lastModifiedBy>
  <cp:revision>12</cp:revision>
  <cp:lastPrinted>2023-11-30T06:27:00Z</cp:lastPrinted>
  <dcterms:created xsi:type="dcterms:W3CDTF">2023-11-30T06:06:00Z</dcterms:created>
  <dcterms:modified xsi:type="dcterms:W3CDTF">2023-12-20T07:43:00Z</dcterms:modified>
</cp:coreProperties>
</file>