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1A" w:rsidRDefault="00754C1A" w:rsidP="00754C1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DC170C">
        <w:rPr>
          <w:rFonts w:ascii="Times New Roman" w:hAnsi="Times New Roman" w:cs="Times New Roman"/>
          <w:bCs w:val="0"/>
          <w:sz w:val="28"/>
          <w:szCs w:val="28"/>
        </w:rPr>
        <w:t>59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711510">
        <w:rPr>
          <w:rFonts w:ascii="Times New Roman" w:hAnsi="Times New Roman" w:cs="Times New Roman"/>
          <w:bCs w:val="0"/>
          <w:sz w:val="28"/>
          <w:szCs w:val="28"/>
        </w:rPr>
        <w:t>2</w:t>
      </w:r>
      <w:r w:rsidR="00EE2ED2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754C1A" w:rsidRDefault="00754C1A" w:rsidP="00754C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Чиндантское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Чиндантское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711510">
        <w:rPr>
          <w:b/>
          <w:sz w:val="28"/>
          <w:szCs w:val="28"/>
        </w:rPr>
        <w:t>2</w:t>
      </w:r>
      <w:r w:rsidR="00EE2E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754C1A" w:rsidRDefault="00754C1A" w:rsidP="00754C1A">
      <w:pPr>
        <w:jc w:val="center"/>
        <w:rPr>
          <w:b/>
          <w:sz w:val="28"/>
          <w:szCs w:val="28"/>
        </w:rPr>
      </w:pP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1360F8">
        <w:rPr>
          <w:color w:val="000000"/>
          <w:sz w:val="28"/>
          <w:szCs w:val="28"/>
        </w:rPr>
        <w:t>Г</w:t>
      </w:r>
      <w:r w:rsidR="00E94163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1360F8">
        <w:rPr>
          <w:color w:val="000000"/>
          <w:sz w:val="28"/>
          <w:szCs w:val="28"/>
        </w:rPr>
        <w:t>Гридина Р</w:t>
      </w:r>
      <w:r w:rsidR="00EA63B1">
        <w:rPr>
          <w:color w:val="000000"/>
          <w:sz w:val="28"/>
          <w:szCs w:val="28"/>
        </w:rPr>
        <w:t>омана Анатольевича</w:t>
      </w:r>
      <w:r w:rsidR="00E94163">
        <w:rPr>
          <w:color w:val="000000"/>
          <w:sz w:val="28"/>
          <w:szCs w:val="28"/>
        </w:rPr>
        <w:t xml:space="preserve">, действующего на основании </w:t>
      </w:r>
      <w:r w:rsidR="00E94163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Чиндантское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</w:t>
      </w:r>
      <w:r w:rsidR="00BC03B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лавы </w:t>
      </w:r>
      <w:r w:rsidR="00BC03B8" w:rsidRPr="00BC03B8">
        <w:rPr>
          <w:sz w:val="28"/>
          <w:szCs w:val="28"/>
        </w:rPr>
        <w:t>Старицын</w:t>
      </w:r>
      <w:r w:rsidR="00BC03B8">
        <w:rPr>
          <w:sz w:val="28"/>
          <w:szCs w:val="28"/>
        </w:rPr>
        <w:t>ой</w:t>
      </w:r>
      <w:r w:rsidR="00BC03B8" w:rsidRPr="00BC03B8">
        <w:rPr>
          <w:sz w:val="28"/>
          <w:szCs w:val="28"/>
        </w:rPr>
        <w:t xml:space="preserve"> Наталь</w:t>
      </w:r>
      <w:r w:rsidR="00BC03B8">
        <w:rPr>
          <w:sz w:val="28"/>
          <w:szCs w:val="28"/>
        </w:rPr>
        <w:t>и</w:t>
      </w:r>
      <w:r w:rsidR="00BC03B8" w:rsidRPr="00BC03B8">
        <w:rPr>
          <w:sz w:val="28"/>
          <w:szCs w:val="28"/>
        </w:rPr>
        <w:t xml:space="preserve"> </w:t>
      </w:r>
      <w:proofErr w:type="spellStart"/>
      <w:r w:rsidR="00BC03B8" w:rsidRPr="00BC03B8">
        <w:rPr>
          <w:sz w:val="28"/>
          <w:szCs w:val="28"/>
        </w:rPr>
        <w:t>Сибенжаевн</w:t>
      </w:r>
      <w:r w:rsidR="00BC03B8">
        <w:rPr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>, действующей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Чиндантское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</w:p>
    <w:p w:rsidR="00754C1A" w:rsidRDefault="00754C1A" w:rsidP="00754C1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754C1A" w:rsidRDefault="00754C1A" w:rsidP="00754C1A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Чиндантское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Чиндантское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Чиндантское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EE2ED2">
        <w:rPr>
          <w:sz w:val="28"/>
          <w:szCs w:val="28"/>
        </w:rPr>
        <w:t>23 октября</w:t>
      </w:r>
      <w:r>
        <w:rPr>
          <w:sz w:val="28"/>
          <w:szCs w:val="28"/>
        </w:rPr>
        <w:t xml:space="preserve"> 20</w:t>
      </w:r>
      <w:r w:rsidR="003A3297">
        <w:rPr>
          <w:sz w:val="28"/>
          <w:szCs w:val="28"/>
        </w:rPr>
        <w:t>2</w:t>
      </w:r>
      <w:r w:rsidR="00EE2ED2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EE2ED2">
        <w:rPr>
          <w:sz w:val="28"/>
          <w:szCs w:val="28"/>
        </w:rPr>
        <w:t>61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0B7344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0B7344">
        <w:rPr>
          <w:sz w:val="28"/>
          <w:szCs w:val="28"/>
        </w:rPr>
        <w:t xml:space="preserve">муниципального района «Борзинский район»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0B7344">
        <w:rPr>
          <w:sz w:val="28"/>
          <w:szCs w:val="28"/>
        </w:rPr>
        <w:t>сельского  поселения «</w:t>
      </w:r>
      <w:proofErr w:type="spellStart"/>
      <w:r w:rsidR="000B7344">
        <w:rPr>
          <w:sz w:val="28"/>
          <w:szCs w:val="28"/>
        </w:rPr>
        <w:t>Чиндантское</w:t>
      </w:r>
      <w:proofErr w:type="spellEnd"/>
      <w:r w:rsidR="000B7344">
        <w:rPr>
          <w:sz w:val="28"/>
          <w:szCs w:val="28"/>
        </w:rPr>
        <w:t xml:space="preserve">» </w:t>
      </w:r>
      <w:r>
        <w:rPr>
          <w:sz w:val="28"/>
          <w:szCs w:val="28"/>
        </w:rPr>
        <w:t>услугами культуры</w:t>
      </w:r>
      <w:r w:rsidR="000B7344">
        <w:rPr>
          <w:sz w:val="28"/>
          <w:szCs w:val="28"/>
        </w:rPr>
        <w:t xml:space="preserve"> на 20</w:t>
      </w:r>
      <w:r w:rsidR="00711510">
        <w:rPr>
          <w:sz w:val="28"/>
          <w:szCs w:val="28"/>
        </w:rPr>
        <w:t>2</w:t>
      </w:r>
      <w:r w:rsidR="00EE2ED2">
        <w:rPr>
          <w:sz w:val="28"/>
          <w:szCs w:val="28"/>
        </w:rPr>
        <w:t>5</w:t>
      </w:r>
      <w:r w:rsidR="000B73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от </w:t>
      </w:r>
      <w:r w:rsidR="000B2165" w:rsidRPr="00DC170C">
        <w:rPr>
          <w:sz w:val="28"/>
          <w:szCs w:val="28"/>
        </w:rPr>
        <w:t>2</w:t>
      </w:r>
      <w:r w:rsidR="00DC170C" w:rsidRPr="00DC170C">
        <w:rPr>
          <w:sz w:val="28"/>
          <w:szCs w:val="28"/>
        </w:rPr>
        <w:t>4</w:t>
      </w:r>
      <w:r w:rsidRPr="00DC170C">
        <w:rPr>
          <w:sz w:val="28"/>
          <w:szCs w:val="28"/>
        </w:rPr>
        <w:t xml:space="preserve"> декабря 20</w:t>
      </w:r>
      <w:r w:rsidR="003A3297" w:rsidRPr="00DC170C">
        <w:rPr>
          <w:sz w:val="28"/>
          <w:szCs w:val="28"/>
        </w:rPr>
        <w:t>2</w:t>
      </w:r>
      <w:r w:rsidR="00DC170C" w:rsidRPr="00DC170C">
        <w:rPr>
          <w:sz w:val="28"/>
          <w:szCs w:val="28"/>
        </w:rPr>
        <w:t>4</w:t>
      </w:r>
      <w:r w:rsidRPr="00DC170C">
        <w:rPr>
          <w:sz w:val="28"/>
          <w:szCs w:val="28"/>
        </w:rPr>
        <w:t xml:space="preserve"> года № </w:t>
      </w:r>
      <w:r w:rsidR="00DC170C" w:rsidRPr="00DC170C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711510">
        <w:rPr>
          <w:sz w:val="28"/>
          <w:szCs w:val="28"/>
        </w:rPr>
        <w:t>2</w:t>
      </w:r>
      <w:r w:rsidR="00EE2ED2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Чиндантское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</w:p>
    <w:p w:rsidR="00754C1A" w:rsidRDefault="00754C1A" w:rsidP="0075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определения объема субвенций, необходимых для осуществления передаваемых полномочий, устанавливается решением </w:t>
      </w:r>
      <w:r>
        <w:rPr>
          <w:color w:val="000000"/>
          <w:sz w:val="28"/>
          <w:szCs w:val="28"/>
        </w:rPr>
        <w:lastRenderedPageBreak/>
        <w:t>Совета сельского поселения «</w:t>
      </w:r>
      <w:proofErr w:type="spellStart"/>
      <w:r>
        <w:rPr>
          <w:color w:val="000000"/>
          <w:sz w:val="28"/>
          <w:szCs w:val="28"/>
        </w:rPr>
        <w:t>Чиндантское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Чиндантское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</w:p>
    <w:p w:rsidR="00754C1A" w:rsidRDefault="00754C1A" w:rsidP="00754C1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Чиндантское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запрашивает у стороны 2 документы, отчеты и иную информацию, связанную с выполнением переданных полномочий;</w:t>
      </w:r>
    </w:p>
    <w:p w:rsidR="00754C1A" w:rsidRDefault="00754C1A" w:rsidP="00754C1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</w:p>
    <w:p w:rsidR="00754C1A" w:rsidRDefault="00754C1A" w:rsidP="00754C1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Чиндантское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Чиндантское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Чиндантское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754C1A" w:rsidRDefault="00754C1A" w:rsidP="00754C1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C1A" w:rsidRDefault="00754C1A" w:rsidP="00754C1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2165" w:rsidRDefault="000B2165" w:rsidP="00754C1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C1A" w:rsidRDefault="00754C1A" w:rsidP="00754C1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</w:p>
    <w:p w:rsidR="00754C1A" w:rsidRDefault="00754C1A" w:rsidP="00754C1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754C1A" w:rsidRDefault="00754C1A" w:rsidP="0075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754C1A" w:rsidRDefault="00754C1A" w:rsidP="00754C1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C1A" w:rsidRDefault="00754C1A" w:rsidP="00754C1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754C1A" w:rsidRDefault="00754C1A" w:rsidP="00754C1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Настоящее Соглашение вступает в силу с момента </w:t>
      </w:r>
      <w:r w:rsidR="000B2165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и действует с 01.01.20</w:t>
      </w:r>
      <w:r w:rsidR="00711510">
        <w:rPr>
          <w:sz w:val="28"/>
          <w:szCs w:val="28"/>
        </w:rPr>
        <w:t>2</w:t>
      </w:r>
      <w:r w:rsidR="00EE2ED2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711510">
        <w:rPr>
          <w:sz w:val="28"/>
          <w:szCs w:val="28"/>
        </w:rPr>
        <w:t>2</w:t>
      </w:r>
      <w:r w:rsidR="00EE2ED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754C1A" w:rsidRDefault="00754C1A" w:rsidP="00754C1A">
      <w:pPr>
        <w:ind w:firstLine="709"/>
        <w:jc w:val="both"/>
        <w:rPr>
          <w:color w:val="000000"/>
          <w:sz w:val="28"/>
          <w:szCs w:val="28"/>
        </w:rPr>
      </w:pPr>
    </w:p>
    <w:p w:rsidR="00754C1A" w:rsidRDefault="00754C1A" w:rsidP="00754C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754C1A" w:rsidTr="00754C1A">
        <w:tc>
          <w:tcPr>
            <w:tcW w:w="4077" w:type="dxa"/>
          </w:tcPr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A66ECB" w:rsidRDefault="001360F8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A66ECB" w:rsidRDefault="00A66ECB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A66ECB" w:rsidRDefault="00A66ECB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0B2165" w:rsidRDefault="000B2165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66ECB" w:rsidRDefault="00A66ECB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EA63B1">
              <w:rPr>
                <w:sz w:val="28"/>
                <w:szCs w:val="28"/>
              </w:rPr>
              <w:t>Р</w:t>
            </w:r>
            <w:r w:rsidR="000B2165">
              <w:rPr>
                <w:sz w:val="28"/>
                <w:szCs w:val="28"/>
              </w:rPr>
              <w:t>.А.</w:t>
            </w:r>
            <w:r w:rsidR="00EA63B1">
              <w:rPr>
                <w:sz w:val="28"/>
                <w:szCs w:val="28"/>
              </w:rPr>
              <w:t>Гридин</w:t>
            </w:r>
          </w:p>
          <w:p w:rsidR="00A66ECB" w:rsidRDefault="00A66ECB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1360F8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66ECB">
              <w:rPr>
                <w:sz w:val="28"/>
                <w:szCs w:val="28"/>
              </w:rPr>
              <w:t xml:space="preserve"> января 202</w:t>
            </w:r>
            <w:r w:rsidR="00EE2ED2">
              <w:rPr>
                <w:sz w:val="28"/>
                <w:szCs w:val="28"/>
              </w:rPr>
              <w:t>5</w:t>
            </w:r>
            <w:r w:rsidR="00A66ECB">
              <w:rPr>
                <w:sz w:val="28"/>
                <w:szCs w:val="28"/>
              </w:rPr>
              <w:t xml:space="preserve"> года</w:t>
            </w:r>
          </w:p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754C1A" w:rsidRDefault="000B216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54C1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54C1A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754C1A">
              <w:rPr>
                <w:sz w:val="28"/>
                <w:szCs w:val="28"/>
              </w:rPr>
              <w:t>Чиндантское</w:t>
            </w:r>
            <w:proofErr w:type="spellEnd"/>
            <w:r w:rsidR="00754C1A">
              <w:rPr>
                <w:sz w:val="28"/>
                <w:szCs w:val="28"/>
              </w:rPr>
              <w:t>»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0B2165">
              <w:rPr>
                <w:sz w:val="28"/>
                <w:szCs w:val="28"/>
              </w:rPr>
              <w:t>Н.С.Старицына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1360F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754C1A">
              <w:rPr>
                <w:sz w:val="28"/>
                <w:szCs w:val="28"/>
              </w:rPr>
              <w:t xml:space="preserve"> января 20</w:t>
            </w:r>
            <w:r w:rsidR="00711510">
              <w:rPr>
                <w:sz w:val="28"/>
                <w:szCs w:val="28"/>
              </w:rPr>
              <w:t>2</w:t>
            </w:r>
            <w:r w:rsidR="00EE2ED2">
              <w:rPr>
                <w:sz w:val="28"/>
                <w:szCs w:val="28"/>
              </w:rPr>
              <w:t>5</w:t>
            </w:r>
            <w:r w:rsidR="00754C1A">
              <w:rPr>
                <w:sz w:val="28"/>
                <w:szCs w:val="28"/>
              </w:rPr>
              <w:t xml:space="preserve"> года</w:t>
            </w:r>
          </w:p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754C1A" w:rsidTr="00754C1A">
        <w:trPr>
          <w:gridAfter w:val="1"/>
          <w:wAfter w:w="176" w:type="dxa"/>
        </w:trPr>
        <w:tc>
          <w:tcPr>
            <w:tcW w:w="4747" w:type="dxa"/>
            <w:gridSpan w:val="2"/>
          </w:tcPr>
          <w:p w:rsidR="00754C1A" w:rsidRDefault="00754C1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1360F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/20</w:t>
            </w:r>
            <w:r w:rsidR="00711510">
              <w:rPr>
                <w:sz w:val="28"/>
                <w:szCs w:val="28"/>
              </w:rPr>
              <w:t>2</w:t>
            </w:r>
            <w:r w:rsidR="00EE2ED2">
              <w:rPr>
                <w:sz w:val="28"/>
                <w:szCs w:val="28"/>
              </w:rPr>
              <w:t>5</w:t>
            </w:r>
          </w:p>
          <w:p w:rsidR="00754C1A" w:rsidRDefault="00754C1A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754C1A" w:rsidRDefault="00754C1A" w:rsidP="00754C1A">
      <w:pPr>
        <w:jc w:val="center"/>
        <w:rPr>
          <w:b/>
          <w:sz w:val="28"/>
          <w:szCs w:val="28"/>
        </w:rPr>
      </w:pPr>
    </w:p>
    <w:p w:rsidR="00754C1A" w:rsidRDefault="00754C1A" w:rsidP="0075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754C1A" w:rsidRDefault="00754C1A" w:rsidP="0075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Чиндантское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711510">
        <w:rPr>
          <w:b/>
          <w:sz w:val="28"/>
          <w:szCs w:val="28"/>
        </w:rPr>
        <w:t>2</w:t>
      </w:r>
      <w:r w:rsidR="00EE2E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754C1A" w:rsidRDefault="00754C1A" w:rsidP="00754C1A">
      <w:pPr>
        <w:rPr>
          <w:sz w:val="28"/>
          <w:szCs w:val="28"/>
        </w:rPr>
      </w:pPr>
    </w:p>
    <w:p w:rsidR="00754C1A" w:rsidRDefault="00754C1A" w:rsidP="00754C1A">
      <w:pPr>
        <w:rPr>
          <w:sz w:val="28"/>
          <w:szCs w:val="28"/>
        </w:rPr>
      </w:pPr>
    </w:p>
    <w:p w:rsidR="00754C1A" w:rsidRDefault="00754C1A" w:rsidP="00754C1A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754C1A" w:rsidTr="00754C1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754C1A" w:rsidTr="00754C1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1A" w:rsidRDefault="00754C1A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1A" w:rsidRDefault="00EE2ED2" w:rsidP="00EE2ED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701 021</w:t>
            </w:r>
            <w:r w:rsidR="000B7344">
              <w:rPr>
                <w:sz w:val="28"/>
                <w:szCs w:val="28"/>
              </w:rPr>
              <w:t>,00</w:t>
            </w:r>
            <w:r w:rsidR="00754C1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Семьсот одна тысяча двадцать один рубль</w:t>
            </w:r>
            <w:r w:rsidR="00754C1A">
              <w:rPr>
                <w:sz w:val="28"/>
                <w:szCs w:val="28"/>
              </w:rPr>
              <w:t xml:space="preserve"> </w:t>
            </w:r>
            <w:r w:rsidR="000B7344">
              <w:rPr>
                <w:sz w:val="28"/>
                <w:szCs w:val="28"/>
              </w:rPr>
              <w:t>00</w:t>
            </w:r>
            <w:r w:rsidR="00754C1A">
              <w:rPr>
                <w:sz w:val="28"/>
                <w:szCs w:val="28"/>
              </w:rPr>
              <w:t xml:space="preserve"> копе</w:t>
            </w:r>
            <w:r w:rsidR="000B7344">
              <w:rPr>
                <w:sz w:val="28"/>
                <w:szCs w:val="28"/>
              </w:rPr>
              <w:t>ек</w:t>
            </w:r>
            <w:r w:rsidR="00754C1A">
              <w:rPr>
                <w:sz w:val="28"/>
                <w:szCs w:val="28"/>
              </w:rPr>
              <w:t>)</w:t>
            </w:r>
          </w:p>
        </w:tc>
      </w:tr>
    </w:tbl>
    <w:p w:rsidR="00754C1A" w:rsidRDefault="00754C1A" w:rsidP="00754C1A">
      <w:pPr>
        <w:rPr>
          <w:sz w:val="28"/>
          <w:szCs w:val="28"/>
        </w:rPr>
      </w:pPr>
    </w:p>
    <w:p w:rsidR="00754C1A" w:rsidRDefault="00754C1A" w:rsidP="00754C1A">
      <w:pPr>
        <w:rPr>
          <w:sz w:val="28"/>
          <w:szCs w:val="28"/>
        </w:rPr>
      </w:pPr>
    </w:p>
    <w:p w:rsidR="00754C1A" w:rsidRDefault="00754C1A" w:rsidP="00754C1A">
      <w:pPr>
        <w:rPr>
          <w:sz w:val="28"/>
          <w:szCs w:val="28"/>
        </w:rPr>
      </w:pPr>
    </w:p>
    <w:p w:rsidR="00754C1A" w:rsidRDefault="00754C1A" w:rsidP="00754C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754C1A" w:rsidRDefault="00754C1A" w:rsidP="00754C1A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754C1A" w:rsidTr="00754C1A">
        <w:tc>
          <w:tcPr>
            <w:tcW w:w="4077" w:type="dxa"/>
          </w:tcPr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A66ECB" w:rsidRDefault="001360F8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A66ECB" w:rsidRDefault="00A66ECB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A66ECB" w:rsidRDefault="00A66ECB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0B2165" w:rsidRDefault="000B2165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66ECB" w:rsidRDefault="00A66ECB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EA63B1">
              <w:rPr>
                <w:sz w:val="28"/>
                <w:szCs w:val="28"/>
              </w:rPr>
              <w:t>Р</w:t>
            </w:r>
            <w:r w:rsidR="000B2165">
              <w:rPr>
                <w:sz w:val="28"/>
                <w:szCs w:val="28"/>
              </w:rPr>
              <w:t>.А.</w:t>
            </w:r>
            <w:r w:rsidR="00EA63B1">
              <w:rPr>
                <w:sz w:val="28"/>
                <w:szCs w:val="28"/>
              </w:rPr>
              <w:t>Гридин</w:t>
            </w:r>
          </w:p>
          <w:p w:rsidR="00A66ECB" w:rsidRDefault="00A66ECB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1360F8" w:rsidP="00A66EC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66ECB">
              <w:rPr>
                <w:sz w:val="28"/>
                <w:szCs w:val="28"/>
              </w:rPr>
              <w:t xml:space="preserve"> января 202</w:t>
            </w:r>
            <w:r w:rsidR="00EE2ED2">
              <w:rPr>
                <w:sz w:val="28"/>
                <w:szCs w:val="28"/>
              </w:rPr>
              <w:t>5</w:t>
            </w:r>
            <w:r w:rsidR="00A66ECB">
              <w:rPr>
                <w:sz w:val="28"/>
                <w:szCs w:val="28"/>
              </w:rPr>
              <w:t xml:space="preserve"> года</w:t>
            </w:r>
          </w:p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754C1A" w:rsidRDefault="000B216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54C1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54C1A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754C1A">
              <w:rPr>
                <w:sz w:val="28"/>
                <w:szCs w:val="28"/>
              </w:rPr>
              <w:t>Чиндантское</w:t>
            </w:r>
            <w:proofErr w:type="spellEnd"/>
            <w:r w:rsidR="00754C1A">
              <w:rPr>
                <w:sz w:val="28"/>
                <w:szCs w:val="28"/>
              </w:rPr>
              <w:t>»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Н.</w:t>
            </w:r>
            <w:r w:rsidR="000B216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0B2165">
              <w:rPr>
                <w:sz w:val="28"/>
                <w:szCs w:val="28"/>
              </w:rPr>
              <w:t>Старицына</w:t>
            </w:r>
          </w:p>
          <w:p w:rsidR="00754C1A" w:rsidRDefault="00754C1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54C1A" w:rsidRDefault="001360F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754C1A">
              <w:rPr>
                <w:sz w:val="28"/>
                <w:szCs w:val="28"/>
              </w:rPr>
              <w:t xml:space="preserve"> января 20</w:t>
            </w:r>
            <w:r w:rsidR="00711510">
              <w:rPr>
                <w:sz w:val="28"/>
                <w:szCs w:val="28"/>
              </w:rPr>
              <w:t>2</w:t>
            </w:r>
            <w:r w:rsidR="00EE2ED2">
              <w:rPr>
                <w:sz w:val="28"/>
                <w:szCs w:val="28"/>
              </w:rPr>
              <w:t>5</w:t>
            </w:r>
            <w:r w:rsidR="00754C1A">
              <w:rPr>
                <w:sz w:val="28"/>
                <w:szCs w:val="28"/>
              </w:rPr>
              <w:t xml:space="preserve"> года</w:t>
            </w:r>
          </w:p>
          <w:p w:rsidR="00754C1A" w:rsidRDefault="00754C1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754C1A" w:rsidRDefault="00754C1A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754C1A" w:rsidRDefault="00754C1A" w:rsidP="00754C1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sectPr w:rsidR="00754C1A" w:rsidSect="00754C1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B3" w:rsidRDefault="00224CB3" w:rsidP="00754C1A">
      <w:r>
        <w:separator/>
      </w:r>
    </w:p>
  </w:endnote>
  <w:endnote w:type="continuationSeparator" w:id="0">
    <w:p w:rsidR="00224CB3" w:rsidRDefault="00224CB3" w:rsidP="0075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B3" w:rsidRDefault="00224CB3" w:rsidP="00754C1A">
      <w:r>
        <w:separator/>
      </w:r>
    </w:p>
  </w:footnote>
  <w:footnote w:type="continuationSeparator" w:id="0">
    <w:p w:rsidR="00224CB3" w:rsidRDefault="00224CB3" w:rsidP="0075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0860"/>
      <w:docPartObj>
        <w:docPartGallery w:val="Page Numbers (Top of Page)"/>
        <w:docPartUnique/>
      </w:docPartObj>
    </w:sdtPr>
    <w:sdtContent>
      <w:p w:rsidR="00754C1A" w:rsidRDefault="00342080">
        <w:pPr>
          <w:pStyle w:val="a3"/>
          <w:jc w:val="center"/>
        </w:pPr>
        <w:fldSimple w:instr=" PAGE   \* MERGEFORMAT ">
          <w:r w:rsidR="00DC170C">
            <w:rPr>
              <w:noProof/>
            </w:rPr>
            <w:t>5</w:t>
          </w:r>
        </w:fldSimple>
      </w:p>
    </w:sdtContent>
  </w:sdt>
  <w:p w:rsidR="00754C1A" w:rsidRDefault="00754C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717"/>
    <w:rsid w:val="000B2165"/>
    <w:rsid w:val="000B7344"/>
    <w:rsid w:val="00112191"/>
    <w:rsid w:val="00124E1E"/>
    <w:rsid w:val="001360F8"/>
    <w:rsid w:val="001B1487"/>
    <w:rsid w:val="00224CB3"/>
    <w:rsid w:val="002315EA"/>
    <w:rsid w:val="002376D9"/>
    <w:rsid w:val="00240351"/>
    <w:rsid w:val="00293A21"/>
    <w:rsid w:val="002D1053"/>
    <w:rsid w:val="00342080"/>
    <w:rsid w:val="00342826"/>
    <w:rsid w:val="00381858"/>
    <w:rsid w:val="003A3297"/>
    <w:rsid w:val="0043067D"/>
    <w:rsid w:val="00496965"/>
    <w:rsid w:val="005D4709"/>
    <w:rsid w:val="00680426"/>
    <w:rsid w:val="00705F2F"/>
    <w:rsid w:val="00711510"/>
    <w:rsid w:val="00754C1A"/>
    <w:rsid w:val="0082566E"/>
    <w:rsid w:val="00827DC9"/>
    <w:rsid w:val="009905D4"/>
    <w:rsid w:val="00A423F2"/>
    <w:rsid w:val="00A6602A"/>
    <w:rsid w:val="00A66ECB"/>
    <w:rsid w:val="00A6716A"/>
    <w:rsid w:val="00B63247"/>
    <w:rsid w:val="00BC03B8"/>
    <w:rsid w:val="00C43687"/>
    <w:rsid w:val="00CE18AD"/>
    <w:rsid w:val="00D239EE"/>
    <w:rsid w:val="00D479E6"/>
    <w:rsid w:val="00D55A4E"/>
    <w:rsid w:val="00D75FCA"/>
    <w:rsid w:val="00D80717"/>
    <w:rsid w:val="00DC170C"/>
    <w:rsid w:val="00E3530C"/>
    <w:rsid w:val="00E65188"/>
    <w:rsid w:val="00E94163"/>
    <w:rsid w:val="00EA5FB5"/>
    <w:rsid w:val="00EA63B1"/>
    <w:rsid w:val="00EC69DC"/>
    <w:rsid w:val="00ED0517"/>
    <w:rsid w:val="00EE2ED2"/>
    <w:rsid w:val="00F02CEA"/>
    <w:rsid w:val="00FA4FD6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807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754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4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4C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C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27</cp:revision>
  <cp:lastPrinted>2025-01-09T06:51:00Z</cp:lastPrinted>
  <dcterms:created xsi:type="dcterms:W3CDTF">2017-01-09T05:50:00Z</dcterms:created>
  <dcterms:modified xsi:type="dcterms:W3CDTF">2025-01-09T06:52:00Z</dcterms:modified>
</cp:coreProperties>
</file>